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of Sable Ridge Logistics, Inc.</w:t>
      </w:r>
    </w:p>
    <w:p>
      <w:r>
        <w:t>Re: Alleged Failure to Provide Compliant Meal Breaks — Driver Collective Action</w:t>
      </w:r>
    </w:p>
    <w:p>
      <w:r>
        <w:t>This statement is submitted on behalf of Sable Ridge Logistics, Inc. ("Sable Ridge" or the "Company") in response to the above-referenced charge and the notice of a proposed collective action under the Fair Labor Standards Act, 29 U.S.C. § 216(b). This draft reflects final review and sign-off on the current record; it remains a working document pending the items noted in Section V.</w:t>
      </w:r>
    </w:p>
    <w:p>
      <w:pPr>
        <w:pStyle w:val="Heading2"/>
      </w:pPr>
      <w:r>
        <w:t>I. Summary of the Company's Position</w:t>
      </w:r>
    </w:p>
    <w:p>
      <w:r>
        <w:t>Sable Ridge disputes that its meal-break policy, as written and as applied, violates the FLSA or any applicable state wage order. The Company's policy affords drivers a 30-minute unpaid, duty-free meal period after no more than six hours of continuous driving time, consistent with DOT hours-of-service guidance and the wage-and-hour standards of the states in which the named claimants worked. Arguably, isolated instances in which dispatch contacted a driver during a scheduled break — the conduct principally cited by claimants' counsel — do not, without more, convert a bona fide meal period into compensable time under the controlling case law in this circuit.</w:t>
      </w:r>
    </w:p>
    <w:p>
      <w:pPr>
        <w:pStyle w:val="Heading2"/>
      </w:pPr>
      <w:r>
        <w:t>II. Facts Not in Dispute</w:t>
      </w:r>
    </w:p>
    <w:p>
      <w:pPr>
        <w:pStyle w:val="ListNumber"/>
      </w:pPr>
      <w:r>
        <w:t>Sable Ridge's written meal-break policy has been in effect, unchanged in material respects, since 2019.</w:t>
      </w:r>
    </w:p>
    <w:p>
      <w:pPr>
        <w:pStyle w:val="ListNumber"/>
      </w:pPr>
      <w:r>
        <w:t>Drivers log meal breaks through the electronic logging device (ELD) system, which timestamps break start and end.</w:t>
      </w:r>
    </w:p>
    <w:p>
      <w:pPr>
        <w:pStyle w:val="ListNumber"/>
      </w:pPr>
      <w:r>
        <w:t>The named claimants and opt-in plaintiffs identified to date are long-haul and regional drivers dispatched from the Company's three primary terminals.</w:t>
      </w:r>
    </w:p>
    <w:p>
      <w:pPr>
        <w:pStyle w:val="ListNumber"/>
      </w:pPr>
      <w:r>
        <w:t>Dispatch records show contact with drivers during logged break windows in a subset of shifts under review; the frequency and substance of that contact are contested.</w:t>
      </w:r>
    </w:p>
    <w:p>
      <w:pPr>
        <w:pStyle w:val="ListNumber"/>
      </w:pPr>
      <w:r>
        <w:t>No separate, informal instructions regarding break interruptions were given to terminal-level supervisors; the uniformity claim in this Section stands as written.</w:t>
      </w:r>
    </w:p>
    <w:p>
      <w:pPr>
        <w:pStyle w:val="Heading2"/>
      </w:pPr>
      <w:r>
        <w:t>III. Facts in Dispute</w:t>
      </w:r>
    </w:p>
    <w:p>
      <w:pPr>
        <w:pStyle w:val="ListBullet"/>
      </w:pPr>
      <w:r>
        <w:t>Whether dispatch contact during break windows was of a nature and frequency sufficient to render the breaks predominantly for the Company's benefit.</w:t>
      </w:r>
    </w:p>
    <w:p>
      <w:pPr>
        <w:pStyle w:val="ListBullet"/>
      </w:pPr>
      <w:r>
        <w:t>Whether the Company's policy was uniformly communicated and enforced across all three terminals, or whether terminal-level practice diverged from written policy.</w:t>
      </w:r>
    </w:p>
    <w:p>
      <w:pPr>
        <w:pStyle w:val="ListBullet"/>
      </w:pPr>
      <w:r>
        <w:t>The proper measure of damages, if liability is found. The Company reserves its position on damages methodology at this stage and does not take a view herein on whether unpaid time should be calculated per interrupted break or aggregated by shift.</w:t>
      </w:r>
    </w:p>
    <w:p>
      <w:pPr>
        <w:pStyle w:val="Heading2"/>
      </w:pPr>
      <w:r>
        <w:t>IV. Legal Framework</w:t>
      </w:r>
    </w:p>
    <w:p>
      <w:r>
        <w:t>Under 29 C.F.R. § 785.19, a bona fide meal period is not compensable provided the employee is completely relieved from duty. Courts in this circuit apply a predominant-benefit test, looking to the frequency, duration, and nature of interruptions rather than their mere occurrence. The Company's position rests on the proposition that occasional, brief dispatch contact — confined largely to route confirmations rather than substantive work — does not defeat the exemption as a matter of law, though this is a fact-intensive inquiry that arguably will not be resolved on the papers alone.</w:t>
      </w:r>
    </w:p>
    <w:p>
      <w:pPr>
        <w:pStyle w:val="Heading2"/>
      </w:pPr>
      <w:r>
        <w:t>V. Open Items Before This Can Go Out</w:t>
      </w:r>
    </w:p>
    <w:p>
      <w:pPr>
        <w:pStyle w:val="ListNumber"/>
      </w:pPr>
      <w:r>
        <w:t>Resolved: confirmed with the client that terminal-level supervisors did not receive separate, informal instructions regarding break interruptions; no qualification to Section II is required.</w:t>
      </w:r>
    </w:p>
    <w:p>
      <w:pPr>
        <w:pStyle w:val="ListNumber"/>
      </w:pPr>
      <w:r>
        <w:t>Outstanding: ELD interruption data for the full claim period has not yet been obtained beyond the sample currently reviewed. Any future characterization of frequency should be revisited once that data is in hand; the current statement avoids overstating frequency pending that data.</w:t>
      </w:r>
    </w:p>
    <w:p>
      <w:pPr>
        <w:pStyle w:val="ListNumber"/>
      </w:pPr>
      <w:r>
        <w:t>Resolved: damages methodology is reserved rather than addressed at this stage, per Section III.</w:t>
      </w:r>
    </w:p>
    <w:p>
      <w:pPr>
        <w:pStyle w:val="ListNumber"/>
      </w:pPr>
      <w:r>
        <w:t>Removed: dedicated second-reviewer sign-off is not required; Jamal has taken sole sign-off on this review.</w:t>
      </w:r>
    </w:p>
    <w:p>
      <w:r>
        <w:t>This draft reflects final review and sign-off. It is not yet approved for filing or service; any remaining changes should be limited to substantive developments, particularly the outstanding ELD data noted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