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</w:t>
      </w:r>
    </w:p>
    <w:p>
      <w:r>
        <w:t>To: File — Sable Ridge Driver Meal-Break Collective Action</w:t>
      </w:r>
    </w:p>
    <w:p>
      <w:r>
        <w:t>From: Jamal Okonkwo</w:t>
      </w:r>
    </w:p>
    <w:p>
      <w:r>
        <w:t>Re: Final Sign-Off — Witness/Exhibit List Cross-Check</w:t>
      </w:r>
    </w:p>
    <w:p>
      <w:pPr>
        <w:pStyle w:val="Heading2"/>
      </w:pPr>
      <w:r>
        <w:t>1. Purpose</w:t>
      </w:r>
    </w:p>
    <w:p>
      <w:r>
        <w:t>This memorandum confirms that the cross-check of the witness list against the exhibit list for the Sable Ridge matter is complete, that the results are consistent with Noor's review, and that the item is closed.</w:t>
      </w:r>
    </w:p>
    <w:p>
      <w:pPr>
        <w:pStyle w:val="Heading2"/>
      </w:pPr>
      <w:r>
        <w:t>2. Scope of the Cross-Check</w:t>
      </w:r>
    </w:p>
    <w:p>
      <w:r>
        <w:t>The cross-check verified that every witness identified on the current witness list has a corresponding entry, where applicable, on the exhibit list, and that exhibits tied to a given witness are correctly attributed and free of duplication or gap. This included reconciliation of exhibit numbering following the earlier tracker correction and confirmation that no exhibit references a withdrawn or superseded witness designation.</w:t>
      </w:r>
    </w:p>
    <w:p>
      <w:pPr>
        <w:pStyle w:val="Heading2"/>
      </w:pPr>
      <w:r>
        <w:t>3. Consistency with Noor's Review</w:t>
      </w:r>
    </w:p>
    <w:p>
      <w:r>
        <w:t>Noor's independent review reached the same conclusions on witness-to-exhibit attribution and identified no discrepancies beyond the exhibit numbering issue that has already been resolved at the source. There is no open disagreement between the two reviews. I have not identified any additional issue on my own pass that Noor's review did not already flag or resolve.</w:t>
      </w:r>
    </w:p>
    <w:p>
      <w:pPr>
        <w:pStyle w:val="Heading2"/>
      </w:pPr>
      <w:r>
        <w:t>4. Status</w:t>
      </w:r>
    </w:p>
    <w:p>
      <w:pPr>
        <w:pStyle w:val="ListNumber"/>
      </w:pPr>
      <w:r>
        <w:t>Witness list: reconciled, no open items.</w:t>
      </w:r>
    </w:p>
    <w:p>
      <w:pPr>
        <w:pStyle w:val="ListNumber"/>
      </w:pPr>
      <w:r>
        <w:t>Exhibit list: reconciled, numbering correction confirmed fixed at source.</w:t>
      </w:r>
    </w:p>
    <w:p>
      <w:pPr>
        <w:pStyle w:val="ListNumber"/>
      </w:pPr>
      <w:r>
        <w:t>Cross-check between the two: complete, consistent with Noor's review.</w:t>
      </w:r>
    </w:p>
    <w:p>
      <w:pPr>
        <w:pStyle w:val="ListNumber"/>
      </w:pPr>
      <w:r>
        <w:t>No outstanding sourcing or tracking work remains on this item.</w:t>
      </w:r>
    </w:p>
    <w:p>
      <w:pPr>
        <w:pStyle w:val="Heading2"/>
      </w:pPr>
      <w:r>
        <w:t>5. Disposition</w:t>
      </w:r>
    </w:p>
    <w:p>
      <w:r>
        <w:t>This closes the loop on the witness/exhibit list cross-check as planned. No further action is required on this item absent a subsequent amendment to either list. This memorandum is the record of that sign-off.</w:t>
      </w:r>
    </w:p>
    <w:p>
      <w:r>
        <w:t>Arguably the only remaining risk is a late amendment to the witness list changing the exhibit attribution downstream; that risk is ordinary and does not warrant reopening this item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