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Privileged &amp; Confidential — Attorney Work Product</w:t>
      </w:r>
    </w:p>
    <w:p>
      <w:pPr>
        <w:pStyle w:val="Heading1"/>
      </w:pPr>
      <w:r>
        <w:t>Meal-Break Liability Analysis</w:t>
      </w:r>
    </w:p>
    <w:p>
      <w:r>
        <w:t>Re: Sable Ridge Driver Meal-Break Collective Action</w:t>
      </w:r>
    </w:p>
    <w:p>
      <w:r>
        <w:t>From: Jamal Okonkwo, Counsel, Employment</w:t>
      </w:r>
    </w:p>
    <w:p>
      <w:r>
        <w:t>Status: Liability analysis complete on the current record. Framework sections held pending final transcript citations; no other substantive update is available or warranted at this time.</w:t>
      </w:r>
    </w:p>
    <w:p>
      <w:pPr>
        <w:pStyle w:val="Heading2"/>
      </w:pPr>
      <w:r>
        <w:t>1. Purpose and Scope</w:t>
      </w:r>
    </w:p>
    <w:p>
      <w:r>
        <w:t>This memo addresses meal-break liability exposure for the Sable Ridge driver collective, incorporating the completed witness/exhibit cross-check against the master deadline schedule and the finalized choice-of-law analysis. Consistent with the revised instruction to Petra, the liability sections are developed in full; the general framework sections are carried forward from the prior draft and will be updated only if the arriving transcript changes a cited fact. No further substantive sharpening of the liability analysis is available on the current record — the sourcing and exhibit issues that were previously open are now resolved, and nothing new bearing on the merits has come in. Petra is cleared to proceed with formatting and figures review on the exhibit side; this document is the substantive counterpart.</w:t>
      </w:r>
    </w:p>
    <w:p>
      <w:pPr>
        <w:pStyle w:val="Heading2"/>
      </w:pPr>
      <w:r>
        <w:t>2. Bottom Line</w:t>
      </w:r>
    </w:p>
    <w:p>
      <w:r>
        <w:t>The unwelcome answer first: on the record as it now stands, the company's meal-break policy is defensible on its face but the evidence of practice — dispatcher scheduling records and the Ulrich exhibits in particular — supports an inference of routine interruption that a court could find defeats the policy defense at the class-certification stage. Arguably the individualized-inquiry argument survives on the merits; it is not likely to survive certification given the pattern shown across the reconciled exhibit set. The options follow in Section 6.</w:t>
      </w:r>
    </w:p>
    <w:p>
      <w:pPr>
        <w:pStyle w:val="Heading2"/>
      </w:pPr>
      <w:r>
        <w:t>3. Choice of Law</w:t>
      </w:r>
    </w:p>
    <w:p>
      <w:r>
        <w:t>The choice-of-law correction identified earlier is now fixed at the source, with nothing further open. The operative conclusion carried into this analysis: the law of the state where the drivers were domiciled and dispatched during the claims period governs the meal-break claims, not the state of incorporation. This resolves the earlier ambiguity in the framework draft and forecloses the argument that a single, more favorable jurisdiction's law could be applied collective-wide. Counsel should not revisit this point absent a new fact pattern; it is closed.</w:t>
      </w:r>
    </w:p>
    <w:p>
      <w:pPr>
        <w:pStyle w:val="Heading2"/>
      </w:pPr>
      <w:r>
        <w:t>4. Witness and Exhibit Basis for the Liability Analysis</w:t>
      </w:r>
    </w:p>
    <w:p>
      <w:r>
        <w:t>The liability conclusions in Section 5 rest on the reconciled witness/exhibit list, cross-checked against the master deadline schedule with no conflicts remaining. The following items, previously open, are now resolved and incorporated:</w:t>
      </w:r>
    </w:p>
    <w:p>
      <w:pPr>
        <w:pStyle w:val="ListNumber"/>
      </w:pPr>
      <w:r>
        <w:t>Ex. 3 — custodian confirmed; status Complete.</w:t>
      </w:r>
    </w:p>
    <w:p>
      <w:pPr>
        <w:pStyle w:val="ListNumber"/>
      </w:pPr>
      <w:r>
        <w:t>Ex. 4 and Ex. 7 (Ulrich holdouts) — resolved to Complete per sign-off.</w:t>
      </w:r>
    </w:p>
    <w:p>
      <w:pPr>
        <w:pStyle w:val="ListNumber"/>
      </w:pPr>
      <w:r>
        <w:t>Ex. 9 — timing gap matched to master schedule deadline; status Complete.</w:t>
      </w:r>
    </w:p>
    <w:p>
      <w:r>
        <w:t>The Open Items Summary on the cross-check tracker now retains no outstanding items. Nothing in this liability analysis is contingent on an exhibit still in flight.</w:t>
      </w:r>
    </w:p>
    <w:p>
      <w:pPr>
        <w:pStyle w:val="Heading2"/>
      </w:pPr>
      <w:r>
        <w:t>5. Liability Analysis</w:t>
      </w:r>
    </w:p>
    <w:p>
      <w:pPr>
        <w:pStyle w:val="Heading3"/>
      </w:pPr>
      <w:r>
        <w:t>5.1 Policy Defense</w:t>
      </w:r>
    </w:p>
    <w:p>
      <w:r>
        <w:t>The written meal-break policy meets the applicable statutory minimum: a duty-free 30-minute break offered before the end of the fifth hour worked, with a written waiver mechanism. Standing alone, this policy supports a defense that the company provided compliant breaks and that any individual failure to take one was the employee's choice.</w:t>
      </w:r>
    </w:p>
    <w:p>
      <w:pPr>
        <w:pStyle w:val="Heading3"/>
      </w:pPr>
      <w:r>
        <w:t>5.2 Practice Evidence</w:t>
      </w:r>
    </w:p>
    <w:p>
      <w:r>
        <w:t>The dispatcher scheduling records (Ex. 3, Ex. 9) and the Ulrich materials (Ex. 4, Ex. 7) show a recurring pattern of dispatch instructions issued during scheduled break windows, on a scale that is not plausibly limited to a handful of drivers. This is the evidence that moves the case from an individualized-waiver story to a policy-versus-practice story, which is the posture in which meal-break collectives are most often certified.</w:t>
      </w:r>
    </w:p>
    <w:p>
      <w:pPr>
        <w:pStyle w:val="Heading3"/>
      </w:pPr>
      <w:r>
        <w:t>5.3 Certification Exposure</w:t>
      </w:r>
    </w:p>
    <w:p>
      <w:r>
        <w:t>Arguably the company can still defeat certification by showing that interruption rates varied by depot or supervisor, breaking commonality. That argument is weaker here than in the typical case because the Ulrich exhibits span multiple depots and supervisors, undercutting a localized-cause theory before it is made.</w:t>
      </w:r>
    </w:p>
    <w:p>
      <w:pPr>
        <w:pStyle w:val="Heading2"/>
      </w:pPr>
      <w:r>
        <w:t>6. Options</w:t>
      </w:r>
    </w:p>
    <w:p>
      <w:pPr>
        <w:pStyle w:val="ListNumber"/>
      </w:pPr>
      <w:r>
        <w:t>Litigate certification on the commonality gap, using depot-level variance data not yet in the exhibit set — requires new discovery, timeline risk.</w:t>
      </w:r>
    </w:p>
    <w:p>
      <w:pPr>
        <w:pStyle w:val="ListNumber"/>
      </w:pPr>
      <w:r>
        <w:t>Engage early mediation on a class basis before a certification ruling fixes exposure at the high end of the damages range.</w:t>
      </w:r>
    </w:p>
    <w:p>
      <w:pPr>
        <w:pStyle w:val="ListNumber"/>
      </w:pPr>
      <w:r>
        <w:t>Revisit the policy's waiver mechanism prospectively (not curative for the claims period, but relevant to any settlement discussion of injunctive terms).</w:t>
      </w:r>
    </w:p>
    <w:p>
      <w:pPr>
        <w:pStyle w:val="Heading2"/>
      </w:pPr>
      <w:r>
        <w:t>7. Open Items</w:t>
      </w:r>
    </w:p>
    <w:p>
      <w:r>
        <w:t>None on the liability analysis itself, which is complete on the current record. The framework sections will be finalized once the outstanding transcript arrives; any change there does not currently appear likely to alter Sections 5 or 6. No further substantive review of the liability analysis is warranted until either the transcript arrives or new depot-level variance data is developed.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