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Sandhurst Add-On Acquisition</w:t>
      </w:r>
    </w:p>
    <w:p>
      <w:pPr>
        <w:pStyle w:val="Heading2"/>
      </w:pPr>
      <w:r>
        <w:t>Purchase Agreement — First-Draft Progress Memo</w:t>
      </w:r>
    </w:p>
    <w:p>
      <w:r>
        <w:t>This memo summarizes progress this week on the purchase agreement sections assigned to me under the current drafting plan. It is intended for internal review by the deal team and is not a substitute for the marked draft agreement, which is circulated separately for line-level comment.</w:t>
      </w:r>
    </w:p>
    <w:p>
      <w:pPr>
        <w:pStyle w:val="Heading2"/>
      </w:pPr>
      <w:r>
        <w:t>Status Summary</w:t>
      </w:r>
    </w:p>
    <w:p>
      <w:r>
        <w:t>Drafting is proceeding in parallel with the diligence workstream. The Whitfield estoppel escalation has been resolved (landlord agreed to a limited liability carve-out), and this resolution has been reflected in the lease-related representations and the landlord estoppel closing condition below. Delaware good standing has been received and is reflected in the seller fundamental representations. Ohio good standing and Whitfield's good standing certificate remain outstanding pending counsel response, and the corresponding closing condition and disclosure schedule reference are drafted as open/bracketed pending receipt.</w:t>
      </w:r>
    </w:p>
    <w:p>
      <w:pPr>
        <w:pStyle w:val="Heading2"/>
      </w:pPr>
      <w:r>
        <w:t>Section 3 — Representations and Warranties of Seller (First Draft)</w:t>
      </w:r>
    </w:p>
    <w:p>
      <w:pPr>
        <w:pStyle w:val="Heading3"/>
      </w:pPr>
      <w:r>
        <w:t>3.4 Organization; Good Standing</w:t>
      </w:r>
    </w:p>
    <w:p>
      <w:r>
        <w:t>Seller is a corporation duly organized, validly existing and in good standing under the laws of the State of Delaware. [Seller's good standing certificate from the State of Delaware has been received and is attached as Schedule 3.4(a).] Seller is duly qualified to do business as a foreign corporation in each jurisdiction in which the conduct of its business requires such qualification, including the State of Ohio. [DRAFTING NOTE: Ohio good standing certificate remains outstanding as of this draft; Schedule 3.4(b) is bracketed pending receipt and will be finalized once counsel confirms.]</w:t>
      </w:r>
    </w:p>
    <w:p>
      <w:pPr>
        <w:pStyle w:val="Heading3"/>
      </w:pPr>
      <w:r>
        <w:t>3.11 Real Property; Leases</w:t>
      </w:r>
    </w:p>
    <w:p>
      <w:r>
        <w:t>Section 3.11(c) of the Disclosure Schedule sets forth each lease, sublease or occupancy agreement to which Seller is a party, including the lease between Seller and Whitfield Properties, LLC dated as of [_____] (the "Whitfield Lease"). The landlord under the Whitfield Lease has agreed to a limited liability carve-out with respect to Seller's obligations under the estoppel certificate to be delivered pursuant to Section 6.9, resolving the escalation previously flagged by the diligence team. Seller has delivered, or shall use commercially reasonable efforts to deliver prior to Closing, an estoppel certificate from Whitfield Properties, LLC substantially in the form attached as Exhibit E, incorporating such carve-out. [DRAFTING NOTE: Whitfield's good standing certificate, separately required in support of the authority representation in Section 3.2, remains outstanding; cross-reference to Schedule 3.2 bracketed pending receipt.]</w:t>
      </w:r>
    </w:p>
    <w:p>
      <w:pPr>
        <w:pStyle w:val="Heading2"/>
      </w:pPr>
      <w:r>
        <w:t>Section 6 — Conditions to Closing (First Draft)</w:t>
      </w:r>
    </w:p>
    <w:p>
      <w:pPr>
        <w:pStyle w:val="Heading3"/>
      </w:pPr>
      <w:r>
        <w:t>6.9 Landlord Estoppel; Good Standing Certificates</w:t>
      </w:r>
    </w:p>
    <w:p>
      <w:pPr>
        <w:pStyle w:val="ListNumber"/>
      </w:pPr>
      <w:r>
        <w:t>Buyer shall have received the estoppel certificate from Whitfield Properties, LLC referenced in Section 3.11(c), incorporating the agreed limited liability carve-out. [Status: resolved — carve-out agreed; final executed certificate to follow.]</w:t>
      </w:r>
    </w:p>
    <w:p>
      <w:pPr>
        <w:pStyle w:val="ListNumber"/>
      </w:pPr>
      <w:r>
        <w:t>Seller shall have delivered a certificate of good standing from the Secretary of State of the State of Delaware, dated within [ten (10)] days of the Closing Date. [Status: received.]</w:t>
      </w:r>
    </w:p>
    <w:p>
      <w:pPr>
        <w:pStyle w:val="ListNumber"/>
      </w:pPr>
      <w:r>
        <w:t>Seller shall have delivered a certificate of good standing from the Secretary of State of the State of Ohio, dated within [ten (10)] days of the Closing Date. [Status: outstanding — no response from counsel as of this draft; condition remains bracketed.]</w:t>
      </w:r>
    </w:p>
    <w:p>
      <w:pPr>
        <w:pStyle w:val="ListNumber"/>
      </w:pPr>
      <w:r>
        <w:t>Seller shall have delivered a good standing certificate for Whitfield Properties, LLC in form reasonably satisfactory to Buyer. [Status: outstanding — no response from counsel as of this draft; condition remains bracketed.]</w:t>
      </w:r>
    </w:p>
    <w:p>
      <w:r>
        <w:t>Both outstanding items in Section 6.9 are unchanged since last week's escalation note — the silence reflects no response from Whitfield's counsel rather than any new adverse development. These will be un-bracketed and finalized once the certificates are received; no further escalation has been logged this week beyond the standing request.</w:t>
      </w:r>
    </w:p>
    <w:p>
      <w:pPr>
        <w:pStyle w:val="Heading2"/>
      </w:pPr>
      <w:r>
        <w:t>Open Items Carried to Next Draft</w:t>
      </w:r>
    </w:p>
    <w:p>
      <w:pPr>
        <w:pStyle w:val="ListBullet"/>
      </w:pPr>
      <w:r>
        <w:t>Finalize Schedule 3.4(b) upon receipt of Ohio good standing certificate.</w:t>
      </w:r>
    </w:p>
    <w:p>
      <w:pPr>
        <w:pStyle w:val="ListBullet"/>
      </w:pPr>
      <w:r>
        <w:t>Finalize cross-reference in Schedule 3.2 upon receipt of Whitfield's good standing certificate.</w:t>
      </w:r>
    </w:p>
    <w:p>
      <w:pPr>
        <w:pStyle w:val="ListBullet"/>
      </w:pPr>
      <w:r>
        <w:t>Confirm final form of Whitfield estoppel certificate reflecting the agreed limited liability carve-out, and attach as Exhibit E once executed.</w:t>
      </w:r>
    </w:p>
    <w:p>
      <w:pPr>
        <w:pStyle w:val="ListBullet"/>
      </w:pPr>
      <w:r>
        <w:t>Coordinate with tax counsel on Section 3.9 (Taxes) draft, not yet circulated — targeted for next week's plan block.</w:t>
      </w:r>
    </w:p>
    <w:p>
      <w:pPr>
        <w:pStyle w:val="ListBullet"/>
      </w:pPr>
      <w:r>
        <w:t>Circulate this draft to senior associate and partner for markup before combining with the disclosure schedule cross-references currently being finalized by the diligence team.</w:t>
      </w:r>
    </w:p>
    <w:p>
      <w:r>
        <w:t>Apologies for the length here — wanted to make sure the status of each bracketed item was clear given how much of this section depends on the outstanding certificates. Happy to walk through any of this on a call if that's easier than redlines.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