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Sandhurst Add-On Acquisition</w:t>
      </w:r>
    </w:p>
    <w:p>
      <w:pPr>
        <w:pStyle w:val="Heading2"/>
      </w:pPr>
      <w:r>
        <w:t>Purchase Agreement Draft Sections – Weekly Progress Memo</w:t>
      </w:r>
    </w:p>
    <w:p>
      <w:r>
        <w:t>This memo continues the draft of the Purchase Agreement and incorporates the current status of the closing checklist and outstanding estoppel/good standing items so that the representations, conditions to closing, and disclosure schedule references are consistent with where diligence actually stands as of this week.</w:t>
      </w:r>
    </w:p>
    <w:p>
      <w:pPr>
        <w:pStyle w:val="Heading2"/>
      </w:pPr>
      <w:r>
        <w:t>1. Status Incorporated Into This Draft</w:t>
      </w:r>
    </w:p>
    <w:p>
      <w:r>
        <w:t>The following items from the closing checklist and diligence open items tracker are reflected in the sections below:</w:t>
      </w:r>
    </w:p>
    <w:p>
      <w:pPr>
        <w:pStyle w:val="ListBullet"/>
      </w:pPr>
      <w:r>
        <w:t>Whitfield estoppel escalation: resolved. Landlord has agreed to a limited liability carve-out in the estoppel certificate.</w:t>
      </w:r>
    </w:p>
    <w:p>
      <w:pPr>
        <w:pStyle w:val="ListBullet"/>
      </w:pPr>
      <w:r>
        <w:t>Delaware good standing certificate: received.</w:t>
      </w:r>
    </w:p>
    <w:p>
      <w:pPr>
        <w:pStyle w:val="ListBullet"/>
      </w:pPr>
      <w:r>
        <w:t>Ohio good standing certificate: outstanding. No response yet from Whitfield's counsel.</w:t>
      </w:r>
    </w:p>
    <w:p>
      <w:pPr>
        <w:pStyle w:val="ListBullet"/>
      </w:pPr>
      <w:r>
        <w:t>Whitfield's own good standing certificate: outstanding. No response yet from Whitfield's counsel.</w:t>
      </w:r>
    </w:p>
    <w:p>
      <w:pPr>
        <w:pStyle w:val="ListBullet"/>
      </w:pPr>
      <w:r>
        <w:t>Good standing deliverables overall stand at 11/12, not 12/12 - only DE good standing and the Whitfield estoppel carve-out have actually resolved this week; OH good standing and Whitfield's certificate remain unchanged silence rather than new movement.</w:t>
      </w:r>
    </w:p>
    <w:p>
      <w:pPr>
        <w:pStyle w:val="Heading2"/>
      </w:pPr>
      <w:r>
        <w:t>2. Section 4 - Seller's Representations and Warranties (Organization and Good Standing)</w:t>
      </w:r>
    </w:p>
    <w:p>
      <w:r>
        <w:t>Draft language for Section 4.1(b) is revised to reference the good standing certificates actually in hand at signing, with a schedule carve-out for the two still outstanding:</w:t>
      </w:r>
    </w:p>
    <w:p>
      <w:r>
        <w:t>"Except as set forth on Schedule 4.1(b), each of Seller and Whitfield is duly organized, validly existing, and in good standing under the laws of its jurisdiction of organization. Seller has delivered to Buyer a certificate of good standing issued by the Secretary of State of Delaware, dated within thirty (30) days of the Closing Date. Certificates of good standing for Whitfield's jurisdiction of organization (Ohio) and for Whitfield itself have not yet been delivered and are listed on Schedule 4.1(b) as outstanding deliverables, to be delivered no later than the Closing Date or waived in writing by Buyer."</w:t>
      </w:r>
    </w:p>
    <w:p>
      <w:pPr>
        <w:pStyle w:val="Heading2"/>
      </w:pPr>
      <w:r>
        <w:t>3. Section 6 - Conditions to Closing</w:t>
      </w:r>
    </w:p>
    <w:p>
      <w:r>
        <w:t>Section 6.2(d) (landlord estoppel certificates) is updated to reflect resolution of the Whitfield/Ulrich holdout issue:</w:t>
      </w:r>
    </w:p>
    <w:p>
      <w:r>
        <w:t>"Seller shall have delivered estoppel certificates, in form and substance reasonably satisfactory to Buyer, from each landlord listed on Schedule 6.2(d), including the estoppel certificate from the landlord under the Whitfield lease, which certificate shall include a carve-out limiting the landlord's liability as agreed between the parties in lieu of the standard indemnification language originally requested."</w:t>
      </w:r>
    </w:p>
    <w:p>
      <w:r>
        <w:t>Section 6.2(f) (good standing certificates) is updated to a conditional closing deliverable rather than a satisfied condition, since two certificates remain outstanding:</w:t>
      </w:r>
    </w:p>
    <w:p>
      <w:r>
        <w:t>"Seller shall have delivered certificates of good standing for Seller and each Subsidiary listed on Schedule 6.2(f). As of the date hereof, such certificates have been delivered for eleven (11) of the twelve (12) entities listed on Schedule 6.2(f); the certificates for Whitfield's jurisdiction of organization (Ohio) and for Whitfield remain outstanding and shall be delivered prior to Closing or this condition shall be deemed waived only by written notice from Buyer."</w:t>
      </w:r>
    </w:p>
    <w:p>
      <w:pPr>
        <w:pStyle w:val="Heading2"/>
      </w:pPr>
      <w:r>
        <w:t>4. Open Items Carried Forward</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Status</w:t>
            </w:r>
          </w:p>
        </w:tc>
        <w:tc>
          <w:tcPr>
            <w:tcW w:type="dxa" w:w="2160"/>
          </w:tcPr>
          <w:p>
            <w:r>
              <w:t>Responsible Party</w:t>
            </w:r>
          </w:p>
        </w:tc>
        <w:tc>
          <w:tcPr>
            <w:tcW w:type="dxa" w:w="2160"/>
          </w:tcPr>
          <w:p>
            <w:r>
              <w:t>Next Step</w:t>
            </w:r>
          </w:p>
        </w:tc>
      </w:tr>
      <w:tr>
        <w:tc>
          <w:tcPr>
            <w:tcW w:type="dxa" w:w="2160"/>
          </w:tcPr>
          <w:p>
            <w:r>
              <w:t>Whitfield estoppel - liability carve-out</w:t>
            </w:r>
          </w:p>
        </w:tc>
        <w:tc>
          <w:tcPr>
            <w:tcW w:type="dxa" w:w="2160"/>
          </w:tcPr>
          <w:p>
            <w:r>
              <w:t>Resolved</w:t>
            </w:r>
          </w:p>
        </w:tc>
        <w:tc>
          <w:tcPr>
            <w:tcW w:type="dxa" w:w="2160"/>
          </w:tcPr>
          <w:p>
            <w:r>
              <w:t>Landlord's counsel</w:t>
            </w:r>
          </w:p>
        </w:tc>
        <w:tc>
          <w:tcPr>
            <w:tcW w:type="dxa" w:w="2160"/>
          </w:tcPr>
          <w:p>
            <w:r>
              <w:t>Incorporate final signed certificate into closing binder</w:t>
            </w:r>
          </w:p>
        </w:tc>
      </w:tr>
      <w:tr>
        <w:tc>
          <w:tcPr>
            <w:tcW w:type="dxa" w:w="2160"/>
          </w:tcPr>
          <w:p>
            <w:r>
              <w:t>Delaware good standing (Seller)</w:t>
            </w:r>
          </w:p>
        </w:tc>
        <w:tc>
          <w:tcPr>
            <w:tcW w:type="dxa" w:w="2160"/>
          </w:tcPr>
          <w:p>
            <w:r>
              <w:t>Received</w:t>
            </w:r>
          </w:p>
        </w:tc>
        <w:tc>
          <w:tcPr>
            <w:tcW w:type="dxa" w:w="2160"/>
          </w:tcPr>
          <w:p>
            <w:r>
              <w:t>Mira Chandrasekhar</w:t>
            </w:r>
          </w:p>
        </w:tc>
        <w:tc>
          <w:tcPr>
            <w:tcW w:type="dxa" w:w="2160"/>
          </w:tcPr>
          <w:p>
            <w:r>
              <w:t>Attach to Schedule 4.1(b) / 6.2(f)</w:t>
            </w:r>
          </w:p>
        </w:tc>
      </w:tr>
      <w:tr>
        <w:tc>
          <w:tcPr>
            <w:tcW w:type="dxa" w:w="2160"/>
          </w:tcPr>
          <w:p>
            <w:r>
              <w:t>Ohio good standing (Whitfield's jurisdiction)</w:t>
            </w:r>
          </w:p>
        </w:tc>
        <w:tc>
          <w:tcPr>
            <w:tcW w:type="dxa" w:w="2160"/>
          </w:tcPr>
          <w:p>
            <w:r>
              <w:t>Outstanding - no response</w:t>
            </w:r>
          </w:p>
        </w:tc>
        <w:tc>
          <w:tcPr>
            <w:tcW w:type="dxa" w:w="2160"/>
          </w:tcPr>
          <w:p>
            <w:r>
              <w:t>Whitfield's counsel</w:t>
            </w:r>
          </w:p>
        </w:tc>
        <w:tc>
          <w:tcPr>
            <w:tcW w:type="dxa" w:w="2160"/>
          </w:tcPr>
          <w:p>
            <w:r>
              <w:t>Continue escalation; re-flag only on actual movement</w:t>
            </w:r>
          </w:p>
        </w:tc>
      </w:tr>
      <w:tr>
        <w:tc>
          <w:tcPr>
            <w:tcW w:type="dxa" w:w="2160"/>
          </w:tcPr>
          <w:p>
            <w:r>
              <w:t>Whitfield good standing certificate</w:t>
            </w:r>
          </w:p>
        </w:tc>
        <w:tc>
          <w:tcPr>
            <w:tcW w:type="dxa" w:w="2160"/>
          </w:tcPr>
          <w:p>
            <w:r>
              <w:t>Outstanding - no response</w:t>
            </w:r>
          </w:p>
        </w:tc>
        <w:tc>
          <w:tcPr>
            <w:tcW w:type="dxa" w:w="2160"/>
          </w:tcPr>
          <w:p>
            <w:r>
              <w:t>Whitfield's counsel</w:t>
            </w:r>
          </w:p>
        </w:tc>
        <w:tc>
          <w:tcPr>
            <w:tcW w:type="dxa" w:w="2160"/>
          </w:tcPr>
          <w:p>
            <w:r>
              <w:t>Continue escalation; re-flag only on actual movement</w:t>
            </w:r>
          </w:p>
        </w:tc>
      </w:tr>
    </w:tbl>
    <w:p>
      <w:r>
        <w:t>Per the team update circulated this week, the two outstanding certificates represent unchanged silence rather than new developments; they will not be re-flagged again until there is an actual response from Whitfield's counsel.</w:t>
      </w:r>
    </w:p>
    <w:p>
      <w:pPr>
        <w:pStyle w:val="Heading2"/>
      </w:pPr>
      <w:r>
        <w:t>5. Next Steps</w:t>
      </w:r>
    </w:p>
    <w:p>
      <w:pPr>
        <w:pStyle w:val="ListNumber"/>
      </w:pPr>
      <w:r>
        <w:t>Circulate revised Sections 4 and 6 to deal team for comment.</w:t>
      </w:r>
    </w:p>
    <w:p>
      <w:pPr>
        <w:pStyle w:val="ListNumber"/>
      </w:pPr>
      <w:r>
        <w:t>Update Schedule 4.1(b) and Schedule 6.2(f) to reflect current certificate status.</w:t>
      </w:r>
    </w:p>
    <w:p>
      <w:pPr>
        <w:pStyle w:val="ListNumber"/>
      </w:pPr>
      <w:r>
        <w:t>Continue escalation on OH good standing and Whitfield's certificate; report back only upon actual receipt or substantive response.</w:t>
      </w:r>
    </w:p>
    <w:p>
      <w:pPr>
        <w:pStyle w:val="ListNumber"/>
      </w:pPr>
      <w:r>
        <w:t>Confirm final estoppel certificate language with landlord's counsel and attach executed version to closing checklist once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