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DRAFT FOR INTERNAL REVIEW ONLY — NOT YET SENT. Prepared by Quentin Sarr for Ingrid's review before transmission to Whitfield's counsel. Placeholders in [brackets] to be confirmed against Dov's call with counterparty's counsel before this goes out.</w:t>
      </w:r>
    </w:p>
    <w:p>
      <w:r>
        <w:t>[Firm Letterhead]</w:t>
      </w:r>
    </w:p>
    <w:p>
      <w:r>
        <w:t>[Date]</w:t>
      </w:r>
    </w:p>
    <w:p>
      <w:r>
        <w:t>VIA EMAIL AND OVERNIGHT DELIVERY</w:t>
      </w:r>
    </w:p>
    <w:p>
      <w:r>
        <w:t>[Name of Whitfield's Counsel]</w:t>
        <w:br/>
        <w:t>[Firm Name]</w:t>
        <w:br/>
        <w:t>[Address]</w:t>
      </w:r>
    </w:p>
    <w:p>
      <w:r>
        <w:t>Re: Outstanding Landlord Estoppel Certificate – Whitfield Logistics Center – Sandhurst Add-On Acquisition</w:t>
      </w:r>
    </w:p>
    <w:p>
      <w:r>
        <w:t>Dear [Counsel Name]:</w:t>
      </w:r>
    </w:p>
    <w:p>
      <w:r>
        <w:t>We write on behalf of our client in connection with the pending acquisition affecting the premises leased by Whitfield Logistics Center (the "Lease"). As you are aware, delivery of an executed estoppel certificate from the landlord is a condition to closing under the terms of the transaction documents.</w:t>
      </w:r>
    </w:p>
    <w:p>
      <w:r>
        <w:t>To date, we have not received the executed estoppel certificate, notwithstanding our prior requests. This letter follows [a telephone call between Dov [Last Name] of this office and your office on [date], during which [summary of call outcome and any commitment made]].</w:t>
      </w:r>
    </w:p>
    <w:p>
      <w:r>
        <w:t>Given the proximity of the anticipated closing date, we ask that the executed estoppel certificate be delivered to our office no later than [deadline date and time], to allow sufficient time for review and incorporation into the closing set. If there are any outstanding questions regarding the form of certificate or its contents, please contact the undersigned or Dov [Last Name] immediately so that we may work together to resolve them without further delay.</w:t>
      </w:r>
    </w:p>
    <w:p>
      <w:r>
        <w:t>We appreciate your attention to this matter and trust it can be resolved promptly. Please do not hesitate to reach out with any questions.</w:t>
      </w:r>
    </w:p>
    <w:p>
      <w:r>
        <w:t>Very truly yours,</w:t>
      </w:r>
    </w:p>
    <w:p>
      <w:r>
        <w:t>[Signature block – Dov [Last Name] / Quentin Sarr]</w:t>
      </w:r>
    </w:p>
    <w:p>
      <w:pPr>
        <w:pStyle w:val="Heading2"/>
      </w:pPr>
      <w:r>
        <w:t>Internal Notes for Ingrid (not part of the letter)</w:t>
      </w:r>
    </w:p>
    <w:p>
      <w:pPr>
        <w:pStyle w:val="ListNumber"/>
      </w:pPr>
      <w:r>
        <w:t>This draft is queued to go out immediately following Dov's call with Whitfield's counterparty counsel, so the bracketed call summary and deadline need to be filled in with the actual specifics once Dov confirms the call has occurred. As of today's corporate deal status meeting, that call has still not taken place, so this letter cannot yet be finalized or sent — it remains in draft pending Dov's outreach.</w:t>
      </w:r>
    </w:p>
    <w:p>
      <w:pPr>
        <w:pStyle w:val="ListNumber"/>
      </w:pPr>
      <w:r>
        <w:t>Checklist status: Item #4 (Whitfield estoppel) on the Sandhurst closing checklist remains marked Outstanding. This is inconsistent with today's EOD status update, which described the checklist as fully closed, including the Whitfield estoppel — that discrepancy has been flagged separately and the checklist has not been updated to 'closed' pending actual receipt of the certificate.</w:t>
      </w:r>
    </w:p>
    <w:p>
      <w:pPr>
        <w:pStyle w:val="ListNumber"/>
      </w:pPr>
      <w:r>
        <w:t>Related open item flagged by Samir Bhatt: the good-standing certificate request is also still outstanding with no response from counterparty's counsel, separate from but concurrent with the estoppel issue. Worth confirming whether Dov intends to raise both items on the same call so a single follow-up letter (or a companion letter) can address them together, rather than sending duplicative correspondence.</w:t>
      </w:r>
    </w:p>
    <w:p>
      <w:pPr>
        <w:pStyle w:val="ListNumber"/>
      </w:pPr>
      <w:r>
        <w:t>Recommend confirming the deadline date/time with Dov before sending, and that the letter go out same-day as his call so the written record is contemporaneous. This remains blocked until the call actually happens.</w:t>
      </w:r>
    </w:p>
    <w:p>
      <w:pPr>
        <w:pStyle w:val="ListNumber"/>
      </w:pPr>
      <w:r>
        <w:t>Once the certificate is actually received and logged, Item #4 will be updated on the checklist; no such update has been made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