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MIP Ratchet Mechanics — Structural Fix Against Term Sheet Thresholds</w:t>
      </w:r>
    </w:p>
    <w:p>
      <w:r>
        <w:t>This memo replaces the prior markup with an actual mechanical fix. The problem was not drafting style — the MIP plan document's ratchet triggers did not tie to the term sheet's MOIC/IRR thresholds; they used their own internally defined values that drifted from Section 3 of the term sheet. Below is the corrected mechanic, the specific plan language that changes, and a side-by-side showing plan language before and after against the term sheet control.</w:t>
      </w:r>
    </w:p>
    <w:p>
      <w:pPr>
        <w:pStyle w:val="Heading2"/>
      </w:pPr>
      <w:r>
        <w:t>1. Term Sheet Thresholds (Control)</w:t>
      </w:r>
    </w:p>
    <w:p>
      <w:r>
        <w:t>Per Term Sheet Section 3.2 (Sponsor Return Hurdles), the applicable thresholds are:</w:t>
      </w:r>
    </w:p>
    <w:tbl>
      <w:tblPr>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MOIC Hurdle</w:t>
            </w:r>
          </w:p>
        </w:tc>
        <w:tc>
          <w:tcPr>
            <w:tcW w:type="dxa" w:w="2160"/>
          </w:tcPr>
          <w:p>
            <w:r>
              <w:t>IRR Hurdle</w:t>
            </w:r>
          </w:p>
        </w:tc>
        <w:tc>
          <w:tcPr>
            <w:tcW w:type="dxa" w:w="2160"/>
          </w:tcPr>
          <w:p>
            <w:r>
              <w:t>Sponsor Promote Trigger</w:t>
            </w:r>
          </w:p>
        </w:tc>
      </w:tr>
      <w:tr>
        <w:tc>
          <w:tcPr>
            <w:tcW w:type="dxa" w:w="2160"/>
          </w:tcPr>
          <w:p>
            <w:r>
              <w:t>Tier 1</w:t>
            </w:r>
          </w:p>
        </w:tc>
        <w:tc>
          <w:tcPr>
            <w:tcW w:type="dxa" w:w="2160"/>
          </w:tcPr>
          <w:p>
            <w:r>
              <w:t>2.0x</w:t>
            </w:r>
          </w:p>
        </w:tc>
        <w:tc>
          <w:tcPr>
            <w:tcW w:type="dxa" w:w="2160"/>
          </w:tcPr>
          <w:p>
            <w:r>
              <w:t>20%</w:t>
            </w:r>
          </w:p>
        </w:tc>
        <w:tc>
          <w:tcPr>
            <w:tcW w:type="dxa" w:w="2160"/>
          </w:tcPr>
          <w:p>
            <w:r>
              <w:t>Triggers base pool vesting</w:t>
            </w:r>
          </w:p>
        </w:tc>
      </w:tr>
      <w:tr>
        <w:tc>
          <w:tcPr>
            <w:tcW w:type="dxa" w:w="2160"/>
          </w:tcPr>
          <w:p>
            <w:r>
              <w:t>Tier 2</w:t>
            </w:r>
          </w:p>
        </w:tc>
        <w:tc>
          <w:tcPr>
            <w:tcW w:type="dxa" w:w="2160"/>
          </w:tcPr>
          <w:p>
            <w:r>
              <w:t>2.5x</w:t>
            </w:r>
          </w:p>
        </w:tc>
        <w:tc>
          <w:tcPr>
            <w:tcW w:type="dxa" w:w="2160"/>
          </w:tcPr>
          <w:p>
            <w:r>
              <w:t>25%</w:t>
            </w:r>
          </w:p>
        </w:tc>
        <w:tc>
          <w:tcPr>
            <w:tcW w:type="dxa" w:w="2160"/>
          </w:tcPr>
          <w:p>
            <w:r>
              <w:t>Triggers +50% pool step-up</w:t>
            </w:r>
          </w:p>
        </w:tc>
      </w:tr>
      <w:tr>
        <w:tc>
          <w:tcPr>
            <w:tcW w:type="dxa" w:w="2160"/>
          </w:tcPr>
          <w:p>
            <w:r>
              <w:t>Tier 3</w:t>
            </w:r>
          </w:p>
        </w:tc>
        <w:tc>
          <w:tcPr>
            <w:tcW w:type="dxa" w:w="2160"/>
          </w:tcPr>
          <w:p>
            <w:r>
              <w:t>3.0x</w:t>
            </w:r>
          </w:p>
        </w:tc>
        <w:tc>
          <w:tcPr>
            <w:tcW w:type="dxa" w:w="2160"/>
          </w:tcPr>
          <w:p>
            <w:r>
              <w:t>30%</w:t>
            </w:r>
          </w:p>
        </w:tc>
        <w:tc>
          <w:tcPr>
            <w:tcW w:type="dxa" w:w="2160"/>
          </w:tcPr>
          <w:p>
            <w:r>
              <w:t>Triggers full pool acceleration</w:t>
            </w:r>
          </w:p>
        </w:tc>
      </w:tr>
    </w:tbl>
    <w:p>
      <w:r>
        <w:t>These are the only thresholds with contractual force. Any MIP plan provision that references a different number, or that references these tiers without cross-citation, is nonconforming.</w:t>
      </w:r>
    </w:p>
    <w:p>
      <w:pPr>
        <w:pStyle w:val="Heading2"/>
      </w:pPr>
      <w:r>
        <w:t>2. Defect in Current MIP Plan Draft</w:t>
      </w:r>
    </w:p>
    <w:p>
      <w:r>
        <w:t>The MIP plan (Section 5.1, Vesting Waterfall) currently defines its own tiers — 2.0x/18% IRR, 2.25x/22% IRR, and 2.75x/28% IRR — with no cross-reference to the term sheet. This is not a wording problem; it is a substantive mismatch that changes when management gets paid relative to what the term sheet promised sponsors. The IRR legs in particular are all understated relative to the control, which means management's pool vests before the term sheet's own hurdles are cleared.</w:t>
      </w:r>
    </w:p>
    <w:p>
      <w:pPr>
        <w:pStyle w:val="Heading2"/>
      </w:pPr>
      <w:r>
        <w:t>3. Structural Fix</w:t>
      </w:r>
    </w:p>
    <w:p>
      <w:r>
        <w:t>The fix is to delete the independently defined tiers in MIP Section 5.1 and replace them with a direct incorporation of Term Sheet Section 3.2, with the mechanical triggers restated so the plan is self-executing without requiring a reader to flip documents.</w:t>
      </w:r>
    </w:p>
    <w:p>
      <w:pPr>
        <w:pStyle w:val="ListBullet"/>
      </w:pPr>
      <w:r>
        <w:t>Delete MIP Plan Section 5.1(a)-(c) in their entirety.</w:t>
      </w:r>
    </w:p>
    <w:p>
      <w:pPr>
        <w:pStyle w:val="ListBullet"/>
      </w:pPr>
      <w:r>
        <w:t>Insert new Section 5.1: "Vesting Tiers shall be defined by reference to Term Sheet Section 3.2 (Sponsor Return Hurdles), as may be amended. For the avoidance of doubt, the MOIC and IRR thresholds are conjunctive, not disjunctive — both must be satisfied for a Tier to trigger."</w:t>
      </w:r>
    </w:p>
    <w:p>
      <w:pPr>
        <w:pStyle w:val="ListBullet"/>
      </w:pPr>
      <w:r>
        <w:t>Add new Section 5.1(d): "If the Term Sheet is amended to modify Section 3.2 thresholds prior to a Liquidity Event, the Vesting Tiers under this Plan shall automatically conform to the amended thresholds without further action by the Plan Administrator or Committee."</w:t>
      </w:r>
    </w:p>
    <w:p>
      <w:pPr>
        <w:pStyle w:val="ListBullet"/>
      </w:pPr>
      <w:r>
        <w:t>Add defined term cross-reference table (Exhibit C) so the Plan carries the term sheet numbers verbatim rather than by pointer only — this is the piece that was missing and is why the last markup wasn't a fix: a cross-reference without the numbers restated in the plan body is not self-executing at closing.</w:t>
      </w:r>
    </w:p>
    <w:p>
      <w:pPr>
        <w:pStyle w:val="Heading2"/>
      </w:pPr>
      <w:r>
        <w:t>4. Corrected Mechanic — Side by Side</w:t>
      </w:r>
    </w:p>
    <w:tbl>
      <w:tblPr>
        <w:tblW w:type="auto" w:w="0"/>
        <w:tblLook w:firstColumn="1" w:firstRow="1" w:lastColumn="0" w:lastRow="0" w:noHBand="0" w:noVBand="1" w:val="04A0"/>
      </w:tblPr>
      <w:tblGrid>
        <w:gridCol w:w="2880"/>
        <w:gridCol w:w="2880"/>
        <w:gridCol w:w="2880"/>
      </w:tblGrid>
      <w:tr>
        <w:tc>
          <w:tcPr>
            <w:tcW w:type="dxa" w:w="2880"/>
          </w:tcPr>
          <w:p>
            <w:r>
              <w:t>Tier</w:t>
            </w:r>
          </w:p>
        </w:tc>
        <w:tc>
          <w:tcPr>
            <w:tcW w:type="dxa" w:w="2880"/>
          </w:tcPr>
          <w:p>
            <w:r>
              <w:t>Current Plan Language (Nonconforming)</w:t>
            </w:r>
          </w:p>
        </w:tc>
        <w:tc>
          <w:tcPr>
            <w:tcW w:type="dxa" w:w="2880"/>
          </w:tcPr>
          <w:p>
            <w:r>
              <w:t>Corrected Plan Language (Conforms to Term Sheet)</w:t>
            </w:r>
          </w:p>
        </w:tc>
      </w:tr>
      <w:tr>
        <w:tc>
          <w:tcPr>
            <w:tcW w:type="dxa" w:w="2880"/>
          </w:tcPr>
          <w:p>
            <w:r>
              <w:t>Tier 1</w:t>
            </w:r>
          </w:p>
        </w:tc>
        <w:tc>
          <w:tcPr>
            <w:tcW w:type="dxa" w:w="2880"/>
          </w:tcPr>
          <w:p>
            <w:r>
              <w:t>2.0x MOIC / 18% IRR — base pool vests</w:t>
            </w:r>
          </w:p>
        </w:tc>
        <w:tc>
          <w:tcPr>
            <w:tcW w:type="dxa" w:w="2880"/>
          </w:tcPr>
          <w:p>
            <w:r>
              <w:t>2.0x MOIC / 20% IRR (conjunctive) — base pool vests</w:t>
            </w:r>
          </w:p>
        </w:tc>
      </w:tr>
      <w:tr>
        <w:tc>
          <w:tcPr>
            <w:tcW w:type="dxa" w:w="2880"/>
          </w:tcPr>
          <w:p>
            <w:r>
              <w:t>Tier 2</w:t>
            </w:r>
          </w:p>
        </w:tc>
        <w:tc>
          <w:tcPr>
            <w:tcW w:type="dxa" w:w="2880"/>
          </w:tcPr>
          <w:p>
            <w:r>
              <w:t>2.25x MOIC / 22% IRR — pool steps up 50%</w:t>
            </w:r>
          </w:p>
        </w:tc>
        <w:tc>
          <w:tcPr>
            <w:tcW w:type="dxa" w:w="2880"/>
          </w:tcPr>
          <w:p>
            <w:r>
              <w:t>2.5x MOIC / 25% IRR (conjunctive) — pool steps up 50%</w:t>
            </w:r>
          </w:p>
        </w:tc>
      </w:tr>
      <w:tr>
        <w:tc>
          <w:tcPr>
            <w:tcW w:type="dxa" w:w="2880"/>
          </w:tcPr>
          <w:p>
            <w:r>
              <w:t>Tier 3</w:t>
            </w:r>
          </w:p>
        </w:tc>
        <w:tc>
          <w:tcPr>
            <w:tcW w:type="dxa" w:w="2880"/>
          </w:tcPr>
          <w:p>
            <w:r>
              <w:t>2.75x MOIC / 28% IRR — full acceleration</w:t>
            </w:r>
          </w:p>
        </w:tc>
        <w:tc>
          <w:tcPr>
            <w:tcW w:type="dxa" w:w="2880"/>
          </w:tcPr>
          <w:p>
            <w:r>
              <w:t>3.0x MOIC / 30% IRR (conjunctive) — full acceleration</w:t>
            </w:r>
          </w:p>
        </w:tc>
      </w:tr>
    </w:tbl>
    <w:p>
      <w:pPr>
        <w:pStyle w:val="Heading2"/>
      </w:pPr>
      <w:r>
        <w:t>5. Conjunctive vs. Disjunctive — Why It Matters</w:t>
      </w:r>
    </w:p>
    <w:p>
      <w:r>
        <w:t>The current plan draft is silent on whether MOIC and IRR are tested together or independently. Silence defaults to disjunctive under the plan's general construction clause, which means hitting either metric alone triggers vesting. The term sheet's return hurdles were negotiated as a package — MOIC and IRR together — so the fix makes the conjunctive reading explicit in Section 5.1, closing the gap that let the old draft pay out on a weaker outcome than the term sheet contemplated.</w:t>
      </w:r>
    </w:p>
    <w:p>
      <w:pPr>
        <w:pStyle w:val="Heading2"/>
      </w:pPr>
      <w:r>
        <w:t>6. Status</w:t>
      </w:r>
    </w:p>
    <w:p>
      <w:r>
        <w:t>This is the mechanical fix, not a markup of the prior draft — Section 5.1 is rewritten and Exhibit C is new. Nothing goes back to management until Saoirse signs off. Delivering same-day for review per commitment; ready to turn same day on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