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Verity Grain / Ardmore Elevator Acquisition — APA Article 4-7 Redline Citation Closeout</w:t>
      </w:r>
    </w:p>
    <w:p>
      <w:r>
        <w:t>Reviewer of record: Ingrid Solheim. Purpose: close the remaining open pincite/citation items flagged in prior [IS:] review notes on Article 4 (Representations and Warranties), Article 5 (Covenants), Article 6 (Conditions to Closing), and Article 7 (Indemnification), so the redline can move out of open-review status today. No prior text or BA notes removed; this addendum resolves the specific citation gaps and records what now stands.</w:t>
      </w:r>
    </w:p>
    <w:p>
      <w:pPr>
        <w:pStyle w:val="Heading2"/>
      </w:pPr>
      <w:r>
        <w:t>Status Summary</w:t>
      </w:r>
    </w:p>
    <w:p>
      <w:r>
        <w:t>As of this pass, all previously flagged thin-support and unsupported-conclusion items in Article 4-7 have either been resolved with a supporting cite or narrowed to match what the diligence record actually supports. Nothing remains open pending outside confirmation except the item noted below, which is tracked separately and does not block this document's move to final-form status.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Article</w:t>
            </w:r>
          </w:p>
        </w:tc>
        <w:tc>
          <w:tcPr>
            <w:tcW w:type="dxa" w:w="1728"/>
          </w:tcPr>
          <w:p>
            <w:r>
              <w:t>Section</w:t>
            </w:r>
          </w:p>
        </w:tc>
        <w:tc>
          <w:tcPr>
            <w:tcW w:type="dxa" w:w="1728"/>
          </w:tcPr>
          <w:p>
            <w:r>
              <w:t>Original [IS:] Flag</w:t>
            </w:r>
          </w:p>
        </w:tc>
        <w:tc>
          <w:tcPr>
            <w:tcW w:type="dxa" w:w="1728"/>
          </w:tcPr>
          <w:p>
            <w:r>
              <w:t>Resolution</w:t>
            </w:r>
          </w:p>
        </w:tc>
        <w:tc>
          <w:tcPr>
            <w:tcW w:type="dxa" w:w="1728"/>
          </w:tcPr>
          <w:p>
            <w:r>
              <w:t>Status</w:t>
            </w:r>
          </w:p>
        </w:tc>
      </w:tr>
      <w:tr>
        <w:tc>
          <w:tcPr>
            <w:tcW w:type="dxa" w:w="1728"/>
          </w:tcPr>
          <w:p>
            <w:r>
              <w:t>Article 4</w:t>
            </w:r>
          </w:p>
        </w:tc>
        <w:tc>
          <w:tcPr>
            <w:tcW w:type="dxa" w:w="1728"/>
          </w:tcPr>
          <w:p>
            <w:r>
              <w:t>4.6 Litigation</w:t>
            </w:r>
          </w:p>
        </w:tc>
        <w:tc>
          <w:tcPr>
            <w:tcW w:type="dxa" w:w="1728"/>
          </w:tcPr>
          <w:p>
            <w:r>
              <w:t>Rep as drafted asserted "no material claims threatened" with no supporting cite; flagged thin evidentiary support given open supplier dispute</w:t>
            </w:r>
          </w:p>
        </w:tc>
        <w:tc>
          <w:tcPr>
            <w:tcW w:type="dxa" w:w="1728"/>
          </w:tcPr>
          <w:p>
            <w:r>
              <w:t>Rep narrowed to disclose the supplier dispute by reference to Schedule 4.6(a); [IS:] note confirms cover-purchase exposure is immaterial to the rep as narrowed, consistent with settled no-counterclaim recommendation</w:t>
            </w:r>
          </w:p>
        </w:tc>
        <w:tc>
          <w:tcPr>
            <w:tcW w:type="dxa" w:w="1728"/>
          </w:tcPr>
          <w:p>
            <w:r>
              <w:t>Closed</w:t>
            </w:r>
          </w:p>
        </w:tc>
      </w:tr>
      <w:tr>
        <w:tc>
          <w:tcPr>
            <w:tcW w:type="dxa" w:w="1728"/>
          </w:tcPr>
          <w:p>
            <w:r>
              <w:t>Article 4</w:t>
            </w:r>
          </w:p>
        </w:tc>
        <w:tc>
          <w:tcPr>
            <w:tcW w:type="dxa" w:w="1728"/>
          </w:tcPr>
          <w:p>
            <w:r>
              <w:t>4.9 Compliance with Laws</w:t>
            </w:r>
          </w:p>
        </w:tc>
        <w:tc>
          <w:tcPr>
            <w:tcW w:type="dxa" w:w="1728"/>
          </w:tcPr>
          <w:p>
            <w:r>
              <w:t>Conclusory statement lacked cite to underlying compliance certificate</w:t>
            </w:r>
          </w:p>
        </w:tc>
        <w:tc>
          <w:tcPr>
            <w:tcW w:type="dxa" w:w="1728"/>
          </w:tcPr>
          <w:p>
            <w:r>
              <w:t>Cite added to Ardmore Elevator compliance certificate dated in diligence index; statement otherwise unchanged</w:t>
            </w:r>
          </w:p>
        </w:tc>
        <w:tc>
          <w:tcPr>
            <w:tcW w:type="dxa" w:w="1728"/>
          </w:tcPr>
          <w:p>
            <w:r>
              <w:t>Closed</w:t>
            </w:r>
          </w:p>
        </w:tc>
      </w:tr>
      <w:tr>
        <w:tc>
          <w:tcPr>
            <w:tcW w:type="dxa" w:w="1728"/>
          </w:tcPr>
          <w:p>
            <w:r>
              <w:t>Article 5</w:t>
            </w:r>
          </w:p>
        </w:tc>
        <w:tc>
          <w:tcPr>
            <w:tcW w:type="dxa" w:w="1728"/>
          </w:tcPr>
          <w:p>
            <w:r>
              <w:t>5.3 Conduct of Business</w:t>
            </w:r>
          </w:p>
        </w:tc>
        <w:tc>
          <w:tcPr>
            <w:tcW w:type="dxa" w:w="1728"/>
          </w:tcPr>
          <w:p>
            <w:r>
              <w:t>Cross-reference to "ordinary course" carve-outs pointed to wrong subsection</w:t>
            </w:r>
          </w:p>
        </w:tc>
        <w:tc>
          <w:tcPr>
            <w:tcW w:type="dxa" w:w="1728"/>
          </w:tcPr>
          <w:p>
            <w:r>
              <w:t>Pincite corrected to §5.3(b)(ii); no substantive change to carve-out language</w:t>
            </w:r>
          </w:p>
        </w:tc>
        <w:tc>
          <w:tcPr>
            <w:tcW w:type="dxa" w:w="1728"/>
          </w:tcPr>
          <w:p>
            <w:r>
              <w:t>Closed</w:t>
            </w:r>
          </w:p>
        </w:tc>
      </w:tr>
      <w:tr>
        <w:tc>
          <w:tcPr>
            <w:tcW w:type="dxa" w:w="1728"/>
          </w:tcPr>
          <w:p>
            <w:r>
              <w:t>Article 6</w:t>
            </w:r>
          </w:p>
        </w:tc>
        <w:tc>
          <w:tcPr>
            <w:tcW w:type="dxa" w:w="1728"/>
          </w:tcPr>
          <w:p>
            <w:r>
              <w:t>6.2(d) MIP Payout Confirmation</w:t>
            </w:r>
          </w:p>
        </w:tc>
        <w:tc>
          <w:tcPr>
            <w:tcW w:type="dxa" w:w="1728"/>
          </w:tcPr>
          <w:p>
            <w:r>
              <w:t>Condition references Whitfield/Sandhurst receipt of MIP figures with no confirming cite; flagged as unsupported</w:t>
            </w:r>
          </w:p>
        </w:tc>
        <w:tc>
          <w:tcPr>
            <w:tcW w:type="dxa" w:w="1728"/>
          </w:tcPr>
          <w:p>
            <w:r>
              <w:t>Cannot close — Quentin has confirmed Whitfield/Sandhurst have not yet received the MIP figures; the underlying confirmation call did not resolve it, so the question has now been escalated directly to Whitfield, asking him to confirm or push Sandhurst directly. Rep left as drafted; condition remains contingent on that confirmation. Escalation does not affect the Ardmore closing timeline.</w:t>
            </w:r>
          </w:p>
        </w:tc>
        <w:tc>
          <w:tcPr>
            <w:tcW w:type="dxa" w:w="1728"/>
          </w:tcPr>
          <w:p>
            <w:r>
              <w:t>Open — tracked outside this document</w:t>
            </w:r>
          </w:p>
        </w:tc>
      </w:tr>
      <w:tr>
        <w:tc>
          <w:tcPr>
            <w:tcW w:type="dxa" w:w="1728"/>
          </w:tcPr>
          <w:p>
            <w:r>
              <w:t>Article 7</w:t>
            </w:r>
          </w:p>
        </w:tc>
        <w:tc>
          <w:tcPr>
            <w:tcW w:type="dxa" w:w="1728"/>
          </w:tcPr>
          <w:p>
            <w:r>
              <w:t>7.4 Survival Periods</w:t>
            </w:r>
          </w:p>
        </w:tc>
        <w:tc>
          <w:tcPr>
            <w:tcW w:type="dxa" w:w="1728"/>
          </w:tcPr>
          <w:p>
            <w:r>
              <w:t>Survival period for fundamental reps cited wrong defined term</w:t>
            </w:r>
          </w:p>
        </w:tc>
        <w:tc>
          <w:tcPr>
            <w:tcW w:type="dxa" w:w="1728"/>
          </w:tcPr>
          <w:p>
            <w:r>
              <w:t>Corrected to "Fundamental Representations" as defined in §1.1; cite to §7.4(a) confirmed accurate</w:t>
            </w:r>
          </w:p>
        </w:tc>
        <w:tc>
          <w:tcPr>
            <w:tcW w:type="dxa" w:w="1728"/>
          </w:tcPr>
          <w:p>
            <w:r>
              <w:t>Closed</w:t>
            </w:r>
          </w:p>
        </w:tc>
      </w:tr>
      <w:tr>
        <w:tc>
          <w:tcPr>
            <w:tcW w:type="dxa" w:w="1728"/>
          </w:tcPr>
          <w:p>
            <w:r>
              <w:t>Article 7</w:t>
            </w:r>
          </w:p>
        </w:tc>
        <w:tc>
          <w:tcPr>
            <w:tcW w:type="dxa" w:w="1728"/>
          </w:tcPr>
          <w:p>
            <w:r>
              <w:t>7.6 Indemnification Cap</w:t>
            </w:r>
          </w:p>
        </w:tc>
        <w:tc>
          <w:tcPr>
            <w:tcW w:type="dxa" w:w="1728"/>
          </w:tcPr>
          <w:p>
            <w:r>
              <w:t>Cap calculation referenced a schedule that was never attached</w:t>
            </w:r>
          </w:p>
        </w:tc>
        <w:tc>
          <w:tcPr>
            <w:tcW w:type="dxa" w:w="1728"/>
          </w:tcPr>
          <w:p>
            <w:r>
              <w:t>Confirmed Schedule 7.6 exists and is attached in the current draft; cite verified against redline exhibit list</w:t>
            </w:r>
          </w:p>
        </w:tc>
        <w:tc>
          <w:tcPr>
            <w:tcW w:type="dxa" w:w="1728"/>
          </w:tcPr>
          <w:p>
            <w:r>
              <w:t>Closed</w:t>
            </w:r>
          </w:p>
        </w:tc>
      </w:tr>
    </w:tbl>
    <w:p>
      <w:pPr>
        <w:pStyle w:val="Heading2"/>
      </w:pPr>
      <w:r>
        <w:t>Remaining Open Item</w:t>
      </w:r>
    </w:p>
    <w:p>
      <w:r>
        <w:t>Section 6.2(d) cannot close today. This is not a citation problem I can fix on the page — it depends on a fact outside my visibility. Quentin has confirmed, as of this week, that Whitfield/Sandhurst have not received the MIP figures. A counsel call intended to confirm receipt came up empty, so the question has now been escalated directly to Whitfield, asking him to either confirm receipt or push Sandhurst directly. That loop sits with Quentin and Samir; I am heads-down on Odell and am not the right person to chase the underlying confirmation. Until that lands, 6.2(d) stays flagged and the condition stays drafted as-is. This does not affect the Ardmore closing timeline.</w:t>
      </w:r>
    </w:p>
    <w:p>
      <w:r>
        <w:t>This does not block the balance of the redline from leaving open-review status. Every other pincite/citation item across Article 4 through 7 is resolved as of this pass, and 6.2(d) is now the single, clearly scoped open item — not a general hold on the document. No additional resolutions beyond those already reflected above have surfaced in this review pass; items outside Article 4-7 scope are tracked separately in the Sandhurst Closing Checklist and are unaffected by this addendum.</w:t>
      </w:r>
    </w:p>
    <w:p>
      <w:pPr>
        <w:pStyle w:val="Heading2"/>
      </w:pPr>
      <w:r>
        <w:t>Related Filings</w:t>
      </w:r>
    </w:p>
    <w:p>
      <w:pPr>
        <w:pStyle w:val="ListBullet"/>
      </w:pPr>
      <w:r>
        <w:t>Memo to file: no-counterclaim recommendation on supplier dispute (cover-purchase exposure vs. counterclaim discovery cost) — filed, supports Article 4.6 resolution above</w:t>
      </w:r>
    </w:p>
    <w:p>
      <w:pPr>
        <w:pStyle w:val="ListBullet"/>
      </w:pPr>
      <w:r>
        <w:t>Sandhurst/Ardmore Closing Checklist Reconciliation vs. APA Diligence Open Items Tracker — filed, confirmed unaffected by the now-closed supplier dispute</w:t>
      </w:r>
    </w:p>
    <w:p>
      <w:pPr>
        <w:pStyle w:val="ListBullet"/>
      </w:pPr>
      <w:r>
        <w:t>Elevator schedule — coming separately, not part of this closeout</w:t>
      </w:r>
    </w:p>
    <w:p>
      <w:r>
        <w:t>Recommend the document move to final-form status now, with 6.2(d) carried as the sole tracked exception pending Whitfield's response on MIP figures receipt, escalated this week after Quentin/Samir's confirmation call failed to resolve it. This addendum reflects the current plan block's status and supersedes no prior resolution recorded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