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Verity Grain / Hollstead Supply Dispute</w:t>
            </w:r>
          </w:p>
        </w:tc>
      </w:tr>
      <w:tr>
        <w:tc>
          <w:tcPr>
            <w:tcW w:type="dxa" w:w="4320"/>
          </w:tcPr>
          <w:p>
            <w:r>
              <w:t>FROM:</w:t>
            </w:r>
          </w:p>
        </w:tc>
        <w:tc>
          <w:tcPr>
            <w:tcW w:type="dxa" w:w="4320"/>
          </w:tcPr>
          <w:p>
            <w:r>
              <w:t>Lucien Abara, Senior Associate</w:t>
            </w:r>
          </w:p>
        </w:tc>
      </w:tr>
      <w:tr>
        <w:tc>
          <w:tcPr>
            <w:tcW w:type="dxa" w:w="4320"/>
          </w:tcPr>
          <w:p>
            <w:r>
              <w:t>RE:</w:t>
            </w:r>
          </w:p>
        </w:tc>
        <w:tc>
          <w:tcPr>
            <w:tcW w:type="dxa" w:w="4320"/>
          </w:tcPr>
          <w:p>
            <w:r>
              <w:t>Preliminary Assessment of Breach Claims Against Hollstead Grain Co-operative</w:t>
            </w:r>
          </w:p>
        </w:tc>
      </w:tr>
      <w:tr>
        <w:tc>
          <w:tcPr>
            <w:tcW w:type="dxa" w:w="4320"/>
          </w:tcPr>
          <w:p>
            <w:r>
              <w:t>DATE:</w:t>
            </w:r>
          </w:p>
        </w:tc>
        <w:tc>
          <w:tcPr>
            <w:tcW w:type="dxa" w:w="4320"/>
          </w:tcPr>
          <w:p>
            <w:r>
              <w:t>(current)</w:t>
            </w:r>
          </w:p>
        </w:tc>
      </w:tr>
    </w:tbl>
    <w:p>
      <w:pPr>
        <w:pStyle w:val="Heading2"/>
      </w:pPr>
      <w:r>
        <w:t>Conclusion</w:t>
      </w:r>
    </w:p>
    <w:p>
      <w:r>
        <w:t>The better view is that Verity Grain has a viable claim for breach of the Master Grain Supply Agreement against Hollstead, grounded principally in Hollstead's failure to deliver conforming tonnage in the last two delivery windows, but the claim's strength depends heavily on facts not yet confirmed in this record — most importantly, whether Verity issued timely notice of nonconformity under the Agreement's cure provisions. This memo sets out the elements, the open factual gaps, and the immediate next steps needed before we can advise Verity on litigation posture with confidence.</w:t>
      </w:r>
    </w:p>
    <w:p>
      <w:pPr>
        <w:pStyle w:val="Heading2"/>
      </w:pPr>
      <w:r>
        <w:t>Background</w:t>
      </w:r>
    </w:p>
    <w:p>
      <w:r>
        <w:t>Verity Grain and Hollstead Grain Co-operative are parties to a Master Grain Supply Agreement under which Hollstead is obligated to deliver specified tonnage of conforming grain on a rolling delivery schedule. Verity has raised concerns that Hollstead's most recent deliveries fell short of both volume and quality specifications, and that Hollstead has not cured despite Verity's communications on the matter. This memo evaluates the strength of a potential breach claim and identifies what remains outstanding before the firm can recommend a course of action.</w:t>
      </w:r>
    </w:p>
    <w:p>
      <w:pPr>
        <w:pStyle w:val="Heading2"/>
      </w:pPr>
      <w:r>
        <w:t>Elements of the Claim</w:t>
      </w:r>
    </w:p>
    <w:p>
      <w:pPr>
        <w:pStyle w:val="ListNumber"/>
      </w:pPr>
      <w:r>
        <w:t>Existence of a valid and enforceable agreement — the Master Grain Supply Agreement, assumed authentic and unmodified pending confirmation of the fully executed copy.</w:t>
      </w:r>
    </w:p>
    <w:p>
      <w:pPr>
        <w:pStyle w:val="ListNumber"/>
      </w:pPr>
      <w:r>
        <w:t>A specific, identifiable obligation breached — delivery of conforming tonnage on the schedule set out in Schedule A to the Agreement.</w:t>
      </w:r>
    </w:p>
    <w:p>
      <w:pPr>
        <w:pStyle w:val="ListNumber"/>
      </w:pPr>
      <w:r>
        <w:t>Nonperformance or defective performance — the alleged shortfall in tonnage and/or quality in the last two delivery windows.</w:t>
      </w:r>
    </w:p>
    <w:p>
      <w:pPr>
        <w:pStyle w:val="ListNumber"/>
      </w:pPr>
      <w:r>
        <w:t>Notice and opportunity to cure, if required by the Agreement's terms — status currently unconfirmed.</w:t>
      </w:r>
    </w:p>
    <w:p>
      <w:pPr>
        <w:pStyle w:val="ListNumber"/>
      </w:pPr>
      <w:r>
        <w:t>Resulting damages — cover costs, price differential, or consequential losses tied to downstream commitments Verity may have had.</w:t>
      </w:r>
    </w:p>
    <w:p>
      <w:pPr>
        <w:pStyle w:val="Heading2"/>
      </w:pPr>
      <w:r>
        <w:t>Open Factual Gaps</w:t>
      </w:r>
    </w:p>
    <w:p>
      <w:pPr>
        <w:pStyle w:val="ListBullet"/>
      </w:pPr>
      <w:r>
        <w:t>Confirm whether Verity sent written notice of nonconformity within the window specified in the Agreement's cure clause, and obtain copies of any such correspondence.</w:t>
      </w:r>
    </w:p>
    <w:p>
      <w:pPr>
        <w:pStyle w:val="ListBullet"/>
      </w:pPr>
      <w:r>
        <w:t>Obtain the delivery and inspection records for the two disputed windows, including any quality-certification reports from Verity's receiving terminal.</w:t>
      </w:r>
    </w:p>
    <w:p>
      <w:pPr>
        <w:pStyle w:val="ListBullet"/>
      </w:pPr>
      <w:r>
        <w:t>Determine whether the Agreement contains a liquidated damages clause or caps recovery, which would materially affect damages strategy.</w:t>
      </w:r>
    </w:p>
    <w:p>
      <w:pPr>
        <w:pStyle w:val="ListBullet"/>
      </w:pPr>
      <w:r>
        <w:t>Confirm governing law and forum selection clause; the Agreement may specify arbitration rather than litigation.</w:t>
      </w:r>
    </w:p>
    <w:p>
      <w:pPr>
        <w:pStyle w:val="ListBullet"/>
      </w:pPr>
      <w:r>
        <w:t>Identify whether Hollstead has asserted any force majeure or excuse defense in prior correspondence.</w:t>
      </w:r>
    </w:p>
    <w:p>
      <w:pPr>
        <w:pStyle w:val="Heading2"/>
      </w:pPr>
      <w:r>
        <w:t>Recommended Next Steps</w:t>
      </w:r>
    </w:p>
    <w:p>
      <w:pPr>
        <w:pStyle w:val="ListNumber"/>
      </w:pPr>
      <w:r>
        <w:t>Request from the client, within five business days: the fully executed Agreement with all schedules, all delivery and inspection records for the disputed windows, and the complete correspondence file with Hollstead.</w:t>
      </w:r>
    </w:p>
    <w:p>
      <w:pPr>
        <w:pStyle w:val="ListNumber"/>
      </w:pPr>
      <w:r>
        <w:t>Confirm the forum and governing law provisions before any further strategic assessment is finalized.</w:t>
      </w:r>
    </w:p>
    <w:p>
      <w:pPr>
        <w:pStyle w:val="ListNumber"/>
      </w:pPr>
      <w:r>
        <w:t>Prepare a supplemental memo addressing damages calculation once cover-cost information is available.</w:t>
      </w:r>
    </w:p>
    <w:p>
      <w:pPr>
        <w:pStyle w:val="ListNumber"/>
      </w:pPr>
      <w:r>
        <w:t>Hold on any demand letter to Hollstead until notice-and-cure compliance is confirmed, to avoid undermining the claim on a technical defect.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