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Supplier Renewal Agreement — First-Pass Markup Summary</w:t>
      </w:r>
    </w:p>
    <w:p>
      <w:r>
        <w:t>Prepared for Yuki Tanabe. This memorandum summarizes my first-pass review of the counterparty's redlines to the supplier renewal agreement, delivered per the commitment to turn a markup by Thursday. It classifies each material change as substance requiring negotiation attention or boilerplate that can be accepted or resolved without escalation. The underlying redlined document is being returned under separate cover with tracked-changes comments; this memo is the map to that document and should be read alongside it.</w:t>
      </w:r>
    </w:p>
    <w:p>
      <w:pPr>
        <w:pStyle w:val="Heading2"/>
      </w:pPr>
      <w:r>
        <w:t>1. Liability Cap — Substance (Highest Priority)</w:t>
      </w:r>
    </w:p>
    <w:p>
      <w:r>
        <w:t>The counterparty has struck our standard mutual liability cap provision and replaced it with a cap set at the lesser of fees paid in the preceding twelve months or a fixed dollar ceiling, with a carve-out for the counterparty's own indemnification obligations only — not ours. As flagged in our meeting this week, this is the most serious issue in the redline given our client's recall exposure. A twelve-month fees-paid cap is likely to be materially lower than any plausible recall-related loss, and the asymmetric carve-out means the counterparty preserves uncapped recovery against us for the categories of claim most likely to arise (product nonconformity, contamination, recall costs) while capping what we can recover from them. I am not sure this survives contact if a recall event actually occurs; we should push to either (a) restore mutuality, or (b) carve recall-related indemnification out of the cap on both sides symmetrically. This point should be raised first and treated as a walk-away issue if the counterparty will not move.</w:t>
      </w:r>
    </w:p>
    <w:p>
      <w:pPr>
        <w:pStyle w:val="Heading2"/>
      </w:pPr>
      <w:r>
        <w:t>2. Pricing Mechanic — Substance</w:t>
      </w:r>
    </w:p>
    <w:p>
      <w:r>
        <w:t>The redline changes the price adjustment mechanic from a fixed annual escalator tied to a named index to a unilateral right for the counterparty to adjust pricing on 30 days' notice for 'increased input costs,' undefined. This converts a predictable cost structure into an open-ended pricing right. This is substantive and should be resisted or narrowed: at minimum we should seek (a) a defined, third-party index as the trigger rather than the counterparty's own cost representation, (b) a cap on the frequency and magnitude of adjustments, and (c) a right to terminate without penalty if an adjustment exceeds an agreed threshold. This is a negotiation point but not, in my view, a walk-away issue on its own.</w:t>
      </w:r>
    </w:p>
    <w:p>
      <w:pPr>
        <w:pStyle w:val="Heading2"/>
      </w:pPr>
      <w:r>
        <w:t>3. Termination Notice — Substance, Lower Priority</w:t>
      </w:r>
    </w:p>
    <w:p>
      <w:r>
        <w:t>The counterparty has shortened its own notice obligation for termination for convenience from 180 days to 60 days, while leaving our client's notice obligation at 180 days. This asymmetry matters operationally — 60 days is unlikely to be enough time for our client to qualify a replacement supplier for a recall-sensitive input — but it is a negotiable term rather than a structural risk. I would seek either symmetry at 120 days or a longer notice period tied specifically to products subject to recall-relevant specifications, while treating this as a point we can trade against something else if needed.</w:t>
      </w:r>
    </w:p>
    <w:p>
      <w:pPr>
        <w:pStyle w:val="Heading2"/>
      </w:pPr>
      <w:r>
        <w:t>4. Boilerplate — No Substantive Concern</w:t>
      </w:r>
    </w:p>
    <w:p>
      <w:r>
        <w:t>The following redlined provisions are stylistic, conforming, or standard-form changes and do not require negotiation attention beyond confirming they say what they appear to say:</w:t>
      </w:r>
    </w:p>
    <w:p>
      <w:pPr>
        <w:pStyle w:val="ListNumber"/>
      </w:pPr>
      <w:r>
        <w:t>Notices clause — email address and contact-title updates only; substance of the notice mechanic unchanged.</w:t>
      </w:r>
    </w:p>
    <w:p>
      <w:pPr>
        <w:pStyle w:val="ListNumber"/>
      </w:pPr>
      <w:r>
        <w:t>Governing law and venue — unchanged from prior agreement; redline only reformats the clause into the counterparty's current template numbering.</w:t>
      </w:r>
    </w:p>
    <w:p>
      <w:pPr>
        <w:pStyle w:val="ListNumber"/>
      </w:pPr>
      <w:r>
        <w:t>Force majeure — added an explicit reference to 'pandemic or public health emergency,' which is now standard market language and consistent with our own template; no change to the underlying allocation of risk.</w:t>
      </w:r>
    </w:p>
    <w:p>
      <w:pPr>
        <w:pStyle w:val="ListNumber"/>
      </w:pPr>
      <w:r>
        <w:t>Assignment — redline adds a requirement that assignment notices be in writing, which is already our practice; no substantive change.</w:t>
      </w:r>
    </w:p>
    <w:p>
      <w:pPr>
        <w:pStyle w:val="ListNumber"/>
      </w:pPr>
      <w:r>
        <w:t>Confidentiality — term extended from three years to five years post-termination; consistent with current market norms and not worth contesting.</w:t>
      </w:r>
    </w:p>
    <w:p>
      <w:pPr>
        <w:pStyle w:val="ListNumber"/>
      </w:pPr>
      <w:r>
        <w:t>Severability, counterparts, entire agreement — pure conforming boilerplate, no changes of substance.</w:t>
      </w:r>
    </w:p>
    <w:p>
      <w:pPr>
        <w:pStyle w:val="Heading2"/>
      </w:pPr>
      <w:r>
        <w:t>5. Recommended Sequencing</w:t>
      </w:r>
    </w:p>
    <w:p>
      <w:r>
        <w:t>Given the Thursday delivery commitment and the relative severity of the three flagged issues, I recommend raising the liability cap first and separately from the pricing and termination points, so that it is not traded away as part of a package. Pricing mechanic and termination notice can be negotiated together in a single follow-up round. I am available to walk through this markup with Yuki before it goes to the counterparty's counsel.</w:t>
      </w:r>
    </w:p>
    <w:p>
      <w:pPr>
        <w:pStyle w:val="Heading2"/>
      </w:pPr>
      <w:r>
        <w:t>6. Status</w:t>
      </w:r>
    </w:p>
    <w:p>
      <w:r>
        <w:t>This is a first-pass markup only. It does not reflect input from procurement on the commercial acceptability of the pricing mechanic fallback positions, and it should not be treated as a final negotiating position until that input is received.</w:t>
      </w:r>
    </w:p>
    <w:p>
      <w:pPr>
        <w:pStyle w:val="Heading2"/>
      </w:pPr>
      <w:r>
        <w:t>7. Sign-Off — Substantive Read and Recommendation</w:t>
      </w:r>
    </w:p>
    <w:p>
      <w:r>
        <w:t>Having now completed my substantive read of the redline, I confirm the three issues above as the only material items in this markup; everything else is boilerplate as classified in Section 4. My recommendation, in order of priority:</w:t>
      </w:r>
    </w:p>
    <w:p>
      <w:pPr>
        <w:pStyle w:val="ListNumber"/>
      </w:pPr>
      <w:r>
        <w:t>Liability cap: treat as the lead issue and, if necessary, a walk-away issue. The asymmetric carve-out combined with a twelve-month fees-paid ceiling leaves our client exposed on precisely the claims — recall, contamination, nonconformity — that matter most here. I am not sure this survives contact with an actual recall event, and I would not advance to the other points until this one is resolved or the counterparty has clearly refused to move.</w:t>
      </w:r>
    </w:p>
    <w:p>
      <w:pPr>
        <w:pStyle w:val="ListNumber"/>
      </w:pPr>
      <w:r>
        <w:t>Pricing mechanic: negotiate firmly but do not treat as a deal-breaker on its own. The fallback positions I have outlined (third-party index trigger, frequency/magnitude cap, termination right above a threshold) should be sufficient to convert this from an open-ended risk into a manageable one, subject to procurement's commercial input per Section 6.</w:t>
      </w:r>
    </w:p>
    <w:p>
      <w:pPr>
        <w:pStyle w:val="ListNumber"/>
      </w:pPr>
      <w:r>
        <w:t>Termination notice: the lowest-priority substantive point and a reasonable item to trade if we need leverage elsewhere in the negotiation. Symmetry at 120 days is my preferred landing point, but I would not hold up the broader agreement over this alone.</w:t>
      </w:r>
    </w:p>
    <w:p>
      <w:r>
        <w:t>Sequencing recommendation stands as in Section 5: liability cap raised first and separately; pricing and termination taken together in a follow-up round. I remain available to walk through this with Yuki before anything goes back to the counterparty's counsel, and given the impending lapse, I would favor doing so promptly so the corrected package can go out on the committed end-of-week timeline.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