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Coverage and Reserve Analysis</w:t>
      </w:r>
    </w:p>
    <w:p>
      <w:r>
        <w:t>Prepared for: Yuki Tanabe. Prepared by: Cecile Marchand, Partner, Litigation. This memorandum analyzes the reservation of rights letter, the applicable policy, and the notice correspondence provided this week, and states a reserve recommendation on the current record.</w:t>
      </w:r>
    </w:p>
    <w:p>
      <w:pPr>
        <w:pStyle w:val="Heading2"/>
      </w:pPr>
      <w:r>
        <w:t>I. Materials Reviewed</w:t>
      </w:r>
    </w:p>
    <w:p>
      <w:pPr>
        <w:pStyle w:val="ListNumber"/>
      </w:pPr>
      <w:r>
        <w:t>Reservation of rights letter issued by the carrier in response to notice of claim</w:t>
      </w:r>
    </w:p>
    <w:p>
      <w:pPr>
        <w:pStyle w:val="ListNumber"/>
      </w:pPr>
      <w:r>
        <w:t>The applicable policy, including the insuring agreement, definitions, conditions, and exclusions sections</w:t>
      </w:r>
    </w:p>
    <w:p>
      <w:pPr>
        <w:pStyle w:val="ListNumber"/>
      </w:pPr>
      <w:r>
        <w:t>Notice correspondence exchanged between the insured and the carrier, including the initial notice of claim and any follow-up correspondence bearing on timeliness and content of notice</w:t>
      </w:r>
    </w:p>
    <w:p>
      <w:r>
        <w:t>This analysis proceeds on the documents as furnished; I have not independently verified dates of loss, dates of discovery, or the completeness of the correspondence file, and I flag below where a gap in the record affects the conclusion.</w:t>
      </w:r>
    </w:p>
    <w:p>
      <w:pPr>
        <w:pStyle w:val="Heading2"/>
      </w:pPr>
      <w:r>
        <w:t>II. Notice — Timeliness and Sufficiency</w:t>
      </w:r>
    </w:p>
    <w:p>
      <w:r>
        <w:t>The threshold question is whether notice was given as soon as practicable, or within whatever period the policy's notice condition specifies. Late notice, without more, is not fatal in most jurisdictions absent a showing of prejudice to the carrier, but the reservation of rights letter's reference to the notice condition signals the carrier intends to preserve the argument. I read the correspondence as adequate in substance — it identifies the claimant, the date the insured became aware of the potential claim, and a summary of the underlying allegations — but the interval between discovery and notice is not fully accounted for on this record and should be confirmed with the client directly rather than inferred from the correspondence alone.</w:t>
      </w:r>
    </w:p>
    <w:p>
      <w:pPr>
        <w:pStyle w:val="Heading2"/>
      </w:pPr>
      <w:r>
        <w:t>III. Insuring Agreement — Trigger</w:t>
      </w:r>
    </w:p>
    <w:p>
      <w:r>
        <w:t>The insuring agreement is triggered by a claim first made against the insured during the policy period and reported in accordance with the notice condition. On the dates reflected in the correspondence, the claim appears to fall within the policy period. The reservation of rights letter does not dispute this; the carrier's stated reservations go to exclusions and to the notice condition, not to trigger. I treat trigger as established for purposes of this analysis, subject to the caveat in Section II above.</w:t>
      </w:r>
    </w:p>
    <w:p>
      <w:pPr>
        <w:pStyle w:val="Heading2"/>
      </w:pPr>
      <w:r>
        <w:t>IV. Exclusions</w:t>
      </w:r>
    </w:p>
    <w:p>
      <w:pPr>
        <w:pStyle w:val="Heading3"/>
      </w:pPr>
      <w:r>
        <w:t>A. Intentional Acts</w:t>
      </w:r>
    </w:p>
    <w:p>
      <w:r>
        <w:t>The reservation of rights letter cites the intentional-acts exclusion. That exclusion typically requires either an admission or a final adjudication of intentional wrongdoing; a mere allegation in the underlying pleading does not, standing alone, trigger it in most jurisdictions that follow the majority 'potential for coverage' rule at the duty-to-defend stage. On the facts as described in the notice correspondence, the underlying allegations sound in negligence with alternative theories that could be read as intentional; that pleading posture is exactly the kind of ambiguity that keeps the duty to defend alive even if the duty to indemnify is later disputed. I am not sure the carrier's intentional-acts argument survives contact if the underlying complaint is amended or clarified to isolate the negligence theory, and I would want sight of the operative pleading before treating this exclusion as a serious barrier to defense coverage.</w:t>
      </w:r>
    </w:p>
    <w:p>
      <w:pPr>
        <w:pStyle w:val="Heading3"/>
      </w:pPr>
      <w:r>
        <w:t>B. Known Loss / Known Circumstances</w:t>
      </w:r>
    </w:p>
    <w:p>
      <w:r>
        <w:t>The known-loss exclusion bars coverage where the insured knew, before the policy's inception, of circumstances that would give rise to the claim. This is the more substantial of the two exclusions raised. The notice correspondence references communications predating the policy period, and the reservation of rights letter specifically flags this. Whether the exclusion applies turns on facts not yet fully developed — principally, what the insured actually knew, and when. This is precisely the subject of the pending pre-inception discovery.</w:t>
      </w:r>
    </w:p>
    <w:p>
      <w:pPr>
        <w:pStyle w:val="Heading2"/>
      </w:pPr>
      <w:r>
        <w:t>V. Effect of Pending Pre-Inception Discovery</w:t>
      </w:r>
    </w:p>
    <w:p>
      <w:r>
        <w:t>Discovery bearing on the insured's pre-inception knowledge is outstanding. Until that discovery closes, any conclusion on the known-loss exclusion is necessarily provisional. I decline to treat the exclusion as either established or defeated on the current record, and I recommend the reserve reflect that uncertainty rather than resolve it prematurely in either direction.</w:t>
      </w:r>
    </w:p>
    <w:p>
      <w:pPr>
        <w:pStyle w:val="Heading2"/>
      </w:pPr>
      <w:r>
        <w:t>VI. Conclusion and Reserve Recommendation</w:t>
      </w:r>
    </w:p>
    <w:p>
      <w:pPr>
        <w:pStyle w:val="ListBullet"/>
      </w:pPr>
      <w:r>
        <w:t>Trigger under the insuring agreement is satisfied on the current record.</w:t>
      </w:r>
    </w:p>
    <w:p>
      <w:pPr>
        <w:pStyle w:val="ListBullet"/>
      </w:pPr>
      <w:r>
        <w:t>Notice appears substantively adequate; the timing gap should be confirmed directly with the client.</w:t>
      </w:r>
    </w:p>
    <w:p>
      <w:pPr>
        <w:pStyle w:val="ListBullet"/>
      </w:pPr>
      <w:r>
        <w:t>The intentional-acts exclusion is unlikely to defeat the duty to defend on the pleadings as currently framed, though this should be revisited if the underlying complaint is amended.</w:t>
      </w:r>
    </w:p>
    <w:p>
      <w:pPr>
        <w:pStyle w:val="ListBullet"/>
      </w:pPr>
      <w:r>
        <w:t>The known-loss exclusion presents a genuine, unresolved question pending completion of pre-inception discovery, and drives the principal uncertainty in this file.</w:t>
      </w:r>
    </w:p>
    <w:p>
      <w:pPr>
        <w:pStyle w:val="ListBullet"/>
      </w:pPr>
      <w:r>
        <w:t>Recommended reserve: full defense exposure plus a discounted indemnity component reflecting the unresolved known-loss question, to be revisited on completion of discovery.</w:t>
      </w:r>
    </w:p>
    <w:p>
      <w:r>
        <w:t>I will call if anything in the underlying pleading or the discovery record needs to be seen directly rather than summarized; otherwise this analysis stands as the firm's position as of the date of delivery.</w:t>
      </w:r>
    </w:p>
    <w:p>
      <w:pPr>
        <w:pStyle w:val="Heading2"/>
      </w:pPr>
      <w:r>
        <w:t>Rationale Note</w:t>
      </w:r>
    </w:p>
    <w:p>
      <w:r>
        <w:t>This memorandum was finalized and delivered to Yuki Tanabe by the committed end-of-week date. The reserve/coverage conclusion set out above rests on: (i) satisfaction of the insuring-agreement trigger on the dates reflected in the notice correspondence; (ii) an intentional-acts exclusion analysis concluding the exclusion is unlikely to defeat the duty to defend on the current pleadings, subject to revisiting if the underlying complaint is amended; and (iii) a known-loss exclusion analysis left expressly provisional pending completion of pre-inception discovery bearing on the insured's pre-policy knowledge. This analysis is filed for the record and should be read together with the professional liability reserve review process to which it relates.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