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Yuki Tanabe</w:t>
      </w:r>
    </w:p>
    <w:p>
      <w:r>
        <w:t>From: Cecile Marchand, Partner, Litigation</w:t>
      </w:r>
    </w:p>
    <w:p>
      <w:r>
        <w:t>Re: Assessment of Trademark Oppositions Filed in Both Markets — Merits, Sequencing, and Recommended Priority Read</w:t>
      </w:r>
    </w:p>
    <w:p>
      <w:r>
        <w:t>Privileged and Confidential — Attorney Work Product</w:t>
      </w:r>
    </w:p>
    <w:p>
      <w:r>
        <w:t>I am circulating this memorandum in response to the request, now made four times, for a consolidated assessment of the two pending oppositions. I have organized the analysis into three parts: the merits of each opposition considered independently, the sequencing considerations that arise from their pendency in two markets at once, and a recommended priority read. I have tried to be precise about what is settled and what remains a matter of professional judgment rather than certainty; where I qualify a conclusion, the qualification is doing real work and should not be read past.</w:t>
      </w:r>
    </w:p>
    <w:p>
      <w:pPr>
        <w:pStyle w:val="Heading2"/>
      </w:pPr>
      <w:r>
        <w:t>1. Merits — Opposition in the First Market</w:t>
      </w:r>
    </w:p>
    <w:p>
      <w:r>
        <w:t>The opposition as filed rests principally on a likelihood-of-confusion theory, supplemented by a dilution claim pleaded in the alternative. The likelihood-of-confusion theory is, in my assessment, the stronger of the two grounds. The marks share a dominant visual and phonetic element, and the goods and services identified in the parties' respective filings overlap in a way that is more than incidental. I am not sure the dilution claim survives contact; it depends on a showing of fame that the current record does not obviously support, and I would not want the opposition's credibility with the tribunal to rest on that ground if it can be avoided.</w:t>
      </w:r>
    </w:p>
    <w:p>
      <w:pPr>
        <w:pStyle w:val="ListBullet"/>
      </w:pPr>
      <w:r>
        <w:t>Likelihood of confusion: well-supported on the current filings; the strongest available theory.</w:t>
      </w:r>
    </w:p>
    <w:p>
      <w:pPr>
        <w:pStyle w:val="ListBullet"/>
      </w:pPr>
      <w:r>
        <w:t>Dilution: pleaded in the alternative; fame showing is thin on the present record and should not be the lead argument.</w:t>
      </w:r>
    </w:p>
    <w:p>
      <w:pPr>
        <w:pStyle w:val="ListBullet"/>
      </w:pPr>
      <w:r>
        <w:t>Priority: our client's use predates the application's filing date and, on the materials reviewed, its constructive first-use date as well; this is a favorable and largely uncontested fact.</w:t>
      </w:r>
    </w:p>
    <w:p>
      <w:pPr>
        <w:pStyle w:val="Heading2"/>
      </w:pPr>
      <w:r>
        <w:t>2. Merits — Opposition in the Second Market</w:t>
      </w:r>
    </w:p>
    <w:p>
      <w:r>
        <w:t>The second opposition presents a materially different posture. The tribunal in this market applies a stricter standard for establishing a likelihood of confusion between marks that share only a common element rather than a dominant one, and the applicant's goods description is narrower than in the first filing. The result is that the confusion theory here is plausible but meaningfully weaker than its counterpart in the first market. Priority remains favorable on the same facts, and I would lean on it more heavily in this proceeding than in the first.</w:t>
      </w:r>
    </w:p>
    <w:p>
      <w:pPr>
        <w:pStyle w:val="ListBullet"/>
      </w:pPr>
      <w:r>
        <w:t>Likelihood of confusion: plausible but weaker; the shared element is not dominant under this tribunal's standard.</w:t>
      </w:r>
    </w:p>
    <w:p>
      <w:pPr>
        <w:pStyle w:val="ListBullet"/>
      </w:pPr>
      <w:r>
        <w:t>Priority: favorable and should carry more of the argument's weight here than in the first-market opposition.</w:t>
      </w:r>
    </w:p>
    <w:p>
      <w:pPr>
        <w:pStyle w:val="ListBullet"/>
      </w:pPr>
      <w:r>
        <w:t>Procedural posture: the applicant has not yet responded to the notice of opposition; the response deadline is the near-term event that will most affect how this proceeding develops.</w:t>
      </w:r>
    </w:p>
    <w:p>
      <w:pPr>
        <w:pStyle w:val="Heading2"/>
      </w:pPr>
      <w:r>
        <w:t>3. Sequencing Considerations</w:t>
      </w:r>
    </w:p>
    <w:p>
      <w:r>
        <w:t>The two oppositions are related but not procedurally linked, and that distinction matters for how we manage them. A ruling in one market has no binding effect in the other, but a well-developed evidentiary record in the stronger proceeding — particularly on priority and on the scope of actual use — can be repurposed with modest adaptation in the weaker one. I recommend building that record first in the first-market opposition, where the confusion theory is strongest and the discovery burden is more contained, and using the resulting evidentiary work product to strengthen the second-market filing once the applicant there has answered.</w:t>
      </w:r>
    </w:p>
    <w:p>
      <w:r>
        <w:t>There is a competing consideration worth naming plainly: the second-market applicant's response deadline is approaching and, if we sequence discovery entirely behind the first-market proceeding, we risk having no developed record to draw on when that deadline forces our hand. I do not think this risk is severe enough to change the recommended order, but it does mean the second-market file cannot simply sit untouched while we work the first.</w:t>
      </w:r>
    </w:p>
    <w:p>
      <w:r>
        <w:t>This section previously flagged an open dependency: Thandiwe Mokoena had noted that the fundamental-policy and clearance analysis underlying the sequencing recommendation could not be finalized until the outstanding Ohio search was completed and reviewed. That search has now been completed and reviewed, and it does not surface any conflicting or senior use, registration, or filing in Ohio that would alter the priority position described in Sections 1 and 2 or the sequencing recommendation above. Accordingly, I am closing that open item and no longer treat the sequencing analysis in this section as provisional.</w:t>
      </w:r>
    </w:p>
    <w:p>
      <w:pPr>
        <w:pStyle w:val="Heading2"/>
      </w:pPr>
      <w:r>
        <w:t>4. Recommended Priority Read</w:t>
      </w:r>
    </w:p>
    <w:p>
      <w:pPr>
        <w:pStyle w:val="ListNumber"/>
      </w:pPr>
      <w:r>
        <w:t>Prioritize the first-market opposition. Its confusion theory is the stronger of the two, its priority facts are essentially uncontested, and the tribunal's standard is more favorable to our position.</w:t>
      </w:r>
    </w:p>
    <w:p>
      <w:pPr>
        <w:pStyle w:val="ListNumber"/>
      </w:pPr>
      <w:r>
        <w:t>Begin, in parallel and at lower intensity, the evidentiary groundwork in the first-market matter that will transfer to the second market — declarations on first use, specimens of actual use, and the chain of title on the underlying registrations.</w:t>
      </w:r>
    </w:p>
    <w:p>
      <w:pPr>
        <w:pStyle w:val="ListNumber"/>
      </w:pPr>
      <w:r>
        <w:t>Hold the dilution ground in the first-market opposition in reserve rather than lead with it; it adds exposure without a corresponding likelihood of benefit on the current record.</w:t>
      </w:r>
    </w:p>
    <w:p>
      <w:pPr>
        <w:pStyle w:val="ListNumber"/>
      </w:pPr>
      <w:r>
        <w:t>Monitor the second-market applicant's response deadline closely and be prepared to answer on priority grounds primarily, now that the confusion theory and the underlying Ohio clearance question have been fully developed in advance of that deadline.</w:t>
      </w:r>
    </w:p>
    <w:p>
      <w:pPr>
        <w:pStyle w:val="Heading2"/>
      </w:pPr>
      <w:r>
        <w:t>5. Related Development — Insurer's Reservation of Rights</w:t>
      </w:r>
    </w:p>
    <w:p>
      <w:r>
        <w:t>Since my earlier draft of this memorandum, the insurer on the related recall claim has issued a reservation of rights, and we have exchanged correspondence on that letter. I flag it here, briefly, because it bears on this engagement even though it is formally a separate matter: to the extent the reservation signals the insurer's intent to contest coverage for defense costs, it is a reason to be disciplined about the scope and pace of discovery in both oppositions rather than an argument for slowing our work. I do not think the reservation should change the sequencing recommended above, but it is a fact you should have in view when weighing the budget for the parallel evidentiary groundwork described in Section 4. I am not treating the coverage question as resolved either way, and I do not think it survives contact to assume the insurer's position here is final; I would rather flag it now than have it surface as a surprise later.</w:t>
      </w:r>
    </w:p>
    <w:p>
      <w:pPr>
        <w:pStyle w:val="Heading2"/>
      </w:pPr>
      <w:r>
        <w:t>Open Items Closed</w:t>
      </w:r>
    </w:p>
    <w:p>
      <w:r>
        <w:t>Following yesterday's save, one open item remained outstanding on this memorandum: the Ohio search dependency flagged by Thandiwe Mokoena, which bore on the fundamental-policy analysis supporting Section 3 and, by extension, the Recommendation in Section 4. That search is now complete, and the results are consistent with the priority and clearance picture described in Sections 1 through 3; no revision to the merits analysis or the sequencing recommendation is required as a result. With that item closed, I am withdrawing the earlier provisional qualification on the Recommendation and treating Sections 1 through 4 as final rather than subject to further open items. This memorandum, as revised, reflects my completed analysis and recommendation on both oppositions.</w:t>
      </w:r>
    </w:p>
    <w:p>
      <w:pPr>
        <w:pStyle w:val="Heading2"/>
      </w:pPr>
      <w:r>
        <w:t>Closing Note</w:t>
      </w:r>
    </w:p>
    <w:p>
      <w:r>
        <w:t>I recognize this assessment has been slower in coming than it should have been, and I appreciate your patience through the fourth request. I am comfortable with the recommended sequencing above, now that the Ohio search dependency has been resolved, and would like to discuss timing for the first-market evidentiary work at your earliest convenience so we are not caught short when the second-market deadline arrives. I would also like a few minutes on the insurer's reservation of rights on the recall claim, since it is a related development worth keeping in view as we plan the budget for the work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