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Firmwide Docket Procedure: Read-Aloud To/CC Confirmation Policy</w:t>
      </w:r>
    </w:p>
    <w:p>
      <w:r>
        <w:t>Effective immediately. This memorandum formalizes the read-aloud To/CC confirmation policy as standing docket procedure firmwide. The policy has been confirmed by Petra and by Lucien, and is now binding on all matters, not limited to any single engagement.</w:t>
      </w:r>
    </w:p>
    <w:p>
      <w:pPr>
        <w:pStyle w:val="Heading2"/>
      </w:pPr>
      <w:r>
        <w:t>Policy</w:t>
      </w:r>
    </w:p>
    <w:p>
      <w:r>
        <w:t>Before any docket communication is sent that names individuals in the To or CC line as owners, reviewers, approvers, or recipients responsible for action on a deadline, the sender must read aloud the full To/CC list, and confirm each named person's role and responsibility on that entry, before the message goes out.</w:t>
      </w:r>
    </w:p>
    <w:p>
      <w:pPr>
        <w:pStyle w:val="ListNumber"/>
      </w:pPr>
      <w:r>
        <w:t>Read the To/CC list aloud in full before sending.</w:t>
      </w:r>
    </w:p>
    <w:p>
      <w:pPr>
        <w:pStyle w:val="ListNumber"/>
      </w:pPr>
      <w:r>
        <w:t>Confirm each named recipient's role: owner, reviewer, approver, or informational only.</w:t>
      </w:r>
    </w:p>
    <w:p>
      <w:pPr>
        <w:pStyle w:val="ListNumber"/>
      </w:pPr>
      <w:r>
        <w:t>If any named person's role is not certain, resolve it before sending; do not send provisionally and correct after.</w:t>
      </w:r>
    </w:p>
    <w:p>
      <w:pPr>
        <w:pStyle w:val="ListNumber"/>
      </w:pPr>
      <w:r>
        <w:t>If a role cannot be resolved before the deadline in question, escalate per the standard escalation path rather than guess.</w:t>
      </w:r>
    </w:p>
    <w:p>
      <w:pPr>
        <w:pStyle w:val="Heading2"/>
      </w:pPr>
      <w:r>
        <w:t>Why This Is Standing Procedure Now</w:t>
      </w:r>
    </w:p>
    <w:p>
      <w:r>
        <w:t>Recent docket activity illustrated the cost of unclear To/CC ownership: an unresolved sign-off question on the Sable Ridge Position Statement review approach required escalation through Hyun-woo, Bennett, and Rosalie before Bennett resolved that Jamal self-approves; a separate unidentified docket entry (doc-000030) went unconfirmed through multiple EOD deadlines because no one could confirm whether Lucien's tie to the related-party conflicts memo was accurate, ultimately requiring Bennett's final ownership call to pull it from active tracking. Both situations were prolonged by ambiguity over who was actually accountable on the entry, not by any dispute over the underlying deadline.</w:t>
      </w:r>
    </w:p>
    <w:p>
      <w:r>
        <w:t>This policy closes that gap. Docket owners are confirmed at the point of communication, not inferred afterward.</w:t>
      </w:r>
    </w:p>
    <w:p>
      <w:pPr>
        <w:pStyle w:val="Heading2"/>
      </w:pPr>
      <w:r>
        <w:t>Scope</w:t>
      </w:r>
    </w:p>
    <w:p>
      <w:r>
        <w:t>This policy applies to all firm matters and all docket communications, including deadline reminders, escalations, ownership questions, and status notes. It supersedes any matter-specific informal practice.</w:t>
      </w:r>
    </w:p>
    <w:p>
      <w:pPr>
        <w:pStyle w:val="Heading2"/>
      </w:pPr>
      <w:r>
        <w:t>Confirmation</w:t>
      </w:r>
    </w:p>
    <w:p>
      <w:r>
        <w:t>Confirmed firmwide by Petra and by Lucien. Questions on application to a specific matter should be escalated through the standard docket escalation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