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Firmwide Policy Memorandum</w:t>
      </w:r>
    </w:p>
    <w:p>
      <w:r>
        <w:t>Re: Standing No-Change Update Practice for Recurring Matter Documentation</w:t>
      </w:r>
    </w:p>
    <w:p>
      <w:r>
        <w:t>Prepared by: Petra Kovacs, Associate, Employment Practice Group</w:t>
      </w:r>
    </w:p>
    <w:p>
      <w:r>
        <w:t>Distribution: All attorneys and paralegals engaged in recurring investigation, compliance-review, and comparison-cycle documentation</w:t>
      </w:r>
    </w:p>
    <w:p>
      <w:r>
        <w:t>This memorandum formalizes, as standing firmwide policy, the practice previously applied on an ad hoc basis across several matters: the 'no-change update' convention for documenting recurring review cycles where a work product is revised iteratively over time. This policy incorporates input from Bendtsen, Bergmann, Nwosu, and Okonkwo, and is issued at the direction of Adaora Nwosu that the practice cease to be applied inconsistently on a matter-by-matter basis and instead become uniform firm procedure.</w:t>
      </w:r>
    </w:p>
    <w:p>
      <w:pPr>
        <w:pStyle w:val="Heading2"/>
      </w:pPr>
      <w:r>
        <w:t>1. Background</w:t>
      </w:r>
    </w:p>
    <w:p>
      <w:r>
        <w:t>A number of ongoing matters require iterative, cycle-by-cycle documentation: duties-test comparisons completed one exempt title at a time, privilege log review conducted flag-by-flag, and multi-session witness interview summaries built out interview-by-interview. In each of these settings, associates have developed the practice of expressly recording, at the close of each revision cycle, what changed and — equally important — what did not. That practice has so far been applied inconsistently: some documents carry a clear 'for the file' revision summary at each cycle; others do not, and reviewers have had to reconstruct cycle history from version comparison alone. Adaora Nwosu has directed that the practice be adopted as standing policy rather than left to individual habit.</w:t>
      </w:r>
    </w:p>
    <w:p>
      <w:pPr>
        <w:pStyle w:val="Heading2"/>
      </w:pPr>
      <w:r>
        <w:t>2. Policy Statement</w:t>
      </w:r>
    </w:p>
    <w:p>
      <w:r>
        <w:t>Effective immediately, any work product that is revised in discrete, recurring cycles — including but not limited to duties-test comparison memoranda, privilege log and document-review trackers, multi-session witness interview summaries, and status rollups — must include, at the close of each revision cycle, a brief 'no-change update' entry. This entry serves two functions: it identifies what was added or changed in that cycle, and it affirmatively confirms what was left unchanged, so that a reviewer can rely on the document without independently re-verifying prior sections.</w:t>
      </w:r>
    </w:p>
    <w:p>
      <w:pPr>
        <w:pStyle w:val="Heading2"/>
      </w:pPr>
      <w:r>
        <w:t>3. Required Elements of Each Cycle Update</w:t>
      </w:r>
    </w:p>
    <w:p>
      <w:pPr>
        <w:pStyle w:val="ListNumber"/>
      </w:pPr>
      <w:r>
        <w:t>A description of the specific addition made in the cycle (e.g., the section or item completed).</w:t>
      </w:r>
    </w:p>
    <w:p>
      <w:pPr>
        <w:pStyle w:val="ListNumber"/>
      </w:pPr>
      <w:r>
        <w:t>An update to any master status table or tracker reflecting the new item as completed.</w:t>
      </w:r>
    </w:p>
    <w:p>
      <w:pPr>
        <w:pStyle w:val="ListNumber"/>
      </w:pPr>
      <w:r>
        <w:t>An update to the document's forward-looking 'next steps' section identifying the next item in sequence.</w:t>
      </w:r>
    </w:p>
    <w:p>
      <w:pPr>
        <w:pStyle w:val="ListNumber"/>
      </w:pPr>
      <w:r>
        <w:t>An update to any summary or status-rollup section so it reflects the cumulative count or state after the cycle.</w:t>
      </w:r>
    </w:p>
    <w:p>
      <w:pPr>
        <w:pStyle w:val="ListNumber"/>
      </w:pPr>
      <w:r>
        <w:t>A closing 'for the file' note stating explicitly that all other content from prior cycles was reviewed and preserved unchanged, or identifying any exception.</w:t>
      </w:r>
    </w:p>
    <w:p>
      <w:pPr>
        <w:pStyle w:val="Heading2"/>
      </w:pPr>
      <w:r>
        <w:t>4. Attribution and Review Responsibility</w:t>
      </w:r>
    </w:p>
    <w:p>
      <w:r>
        <w:t>The associate or paralegal performing a given cycle is the author of that cycle's no-change update and is responsible for confirming, before filing the revision, that no prior section was inadvertently altered. Where a reviewer of record has been designated for a tracker or log (for example, a privilege log review), that reviewer's sign-off or required-fix determination for each item must itself be logged using the same no-change update convention, distinguishing items confirmed from items requiring escalation.</w:t>
      </w:r>
    </w:p>
    <w:p>
      <w:pPr>
        <w:pStyle w:val="Heading2"/>
      </w:pPr>
      <w:r>
        <w:t>5. Formatting Consistency</w:t>
      </w:r>
    </w:p>
    <w:p>
      <w:r>
        <w:t>No-change updates do not excuse a document from otherwise required structure. Documents subject to this policy must retain consistent heading structure and section numbering across all cycles; a formatting or structure defect identified in one cycle should be flagged for the file and corrected promptly rather than carried forward silently into subsequent cycles.</w:t>
      </w:r>
    </w:p>
    <w:p>
      <w:pPr>
        <w:pStyle w:val="Heading2"/>
      </w:pPr>
      <w:r>
        <w:t>6. Contributors</w:t>
      </w:r>
    </w:p>
    <w:p>
      <w:r>
        <w:t>This policy reflects input from Bendtsen, Bergmann, Nwosu, and Okonkwo, incorporated as follows: Bendtsen's recommendation that cycle updates identify the next item in sequence rather than only the completed item; Bergmann's recommendation that status-rollup sections be updated in the same cycle rather than batched; Nwosu's directive that the practice become standing firmwide policy; and Okonkwo's recommendation that reviewer sign-off and escalation determinations follow the same no-change convention as substantive drafting cycles.</w:t>
      </w:r>
    </w:p>
    <w:p>
      <w:pPr>
        <w:pStyle w:val="Heading2"/>
      </w:pPr>
      <w:r>
        <w:t>7. Effective Date and Application</w:t>
      </w:r>
    </w:p>
    <w:p>
      <w:r>
        <w:t>This policy is effective immediately and applies to all open and future matters involving recurring, cycle-based documentation. Matters already in progress should adopt the practice at the next revision cycle rather than retroactively re-documenting closed cycles.</w:t>
      </w:r>
    </w:p>
    <w:p>
      <w:r>
        <w:t>For the file: this memorandum formalizes practice already followed informally on several active matters and does not itself alter the substance of any pending investigation, comparison, or 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