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Harriet Lindqvist</w:t>
      </w:r>
    </w:p>
    <w:p>
      <w:r>
        <w:t>From: Petra Kovacs</w:t>
      </w:r>
    </w:p>
    <w:p>
      <w:r>
        <w:t>Re: Employee Handbook Update — Harassment and Complaint Procedure Sections (Priority Draft)</w:t>
      </w:r>
    </w:p>
    <w:p>
      <w:r>
        <w:t>This memorandum continues the handbook review we discussed, focusing first on the harassment and complaint-procedure sections you flagged as priority for orientation-readiness. It is organized to separate the policy language we recommend adopting from the reasoning behind each change, so that you and the Board can review substance and rationale separately.</w:t>
      </w:r>
    </w:p>
    <w:p>
      <w:pPr>
        <w:pStyle w:val="Heading2"/>
      </w:pPr>
      <w:r>
        <w:t>1. Scope of This Draft</w:t>
      </w:r>
    </w:p>
    <w:p>
      <w:r>
        <w:t>This draft addresses the two sections you identified as most time-sensitive: (a) the anti-harassment policy statement and (b) the internal complaint and reporting procedure. As you confirmed, the overall handbook review will proceed on a five-week timeline, with these two sections prioritized for orientation-readiness. The remaining handbook sections, including the part-time and hybrid-schedule updates you flagged as minor, will follow in the next drafting cycle within that timeline.</w:t>
      </w:r>
    </w:p>
    <w:p>
      <w:pPr>
        <w:pStyle w:val="Heading2"/>
      </w:pPr>
      <w:r>
        <w:t>2. Anti-Harassment Policy Statement — Recommended Revisions</w:t>
      </w:r>
    </w:p>
    <w:p>
      <w:r>
        <w:t>The current policy statement is broadly consistent with applicable requirements but should be updated to (i) name a specific individual and a designated backup to receive complaints, (ii) clarify that the policy covers harassment by supervisors, coworkers, and third parties such as vendors or clients, and (iii) state expressly that retaliation for reporting, in good faith, is prohibited and will result in discipline.</w:t>
      </w:r>
    </w:p>
    <w:p>
      <w:pPr>
        <w:pStyle w:val="ListBullet"/>
      </w:pPr>
      <w:r>
        <w:t>Add named intake contacts (primary and backup) so employees are not left guessing who to approach.</w:t>
      </w:r>
    </w:p>
    <w:p>
      <w:pPr>
        <w:pStyle w:val="ListBullet"/>
      </w:pPr>
      <w:r>
        <w:t>Broaden the definition of covered conduct to include third-party harassment, given Sable Ridge's vendor and client-facing staff.</w:t>
      </w:r>
    </w:p>
    <w:p>
      <w:pPr>
        <w:pStyle w:val="ListBullet"/>
      </w:pPr>
      <w:r>
        <w:t>Add an explicit non-retaliation clause with examples of prohibited retaliatory conduct (schedule changes, exclusion from meetings, negative performance reviews issued in response to a complaint).</w:t>
      </w:r>
    </w:p>
    <w:p>
      <w:pPr>
        <w:pStyle w:val="Heading2"/>
      </w:pPr>
      <w:r>
        <w:t>3. Internal Complaint Procedure — Recommended Revisions</w:t>
      </w:r>
    </w:p>
    <w:p>
      <w:r>
        <w:t>The complaint procedure should set out, in plain language, how an employee raises a concern, what happens after a complaint is received, and the expected timeframe for a response. We recommend the following structure, which mirrors practices we have advised on for similarly sized employers and which supports the documentation approach we discussed on our call regarding the current staff complaint.</w:t>
      </w:r>
    </w:p>
    <w:p>
      <w:pPr>
        <w:pStyle w:val="ListNumber"/>
      </w:pPr>
      <w:r>
        <w:t>Reporting: employees may report to their supervisor, HR, or either named intake contact; reports may be made verbally or in writing.</w:t>
      </w:r>
    </w:p>
    <w:p>
      <w:pPr>
        <w:pStyle w:val="ListNumber"/>
      </w:pPr>
      <w:r>
        <w:t>Acknowledgment: the recipient acknowledges receipt promptly and explains next steps to the complainant.</w:t>
      </w:r>
    </w:p>
    <w:p>
      <w:pPr>
        <w:pStyle w:val="ListNumber"/>
      </w:pPr>
      <w:r>
        <w:t>Investigation: a designated person conducts a prompt, fair, and impartial investigation, documenting interviews and findings.</w:t>
      </w:r>
    </w:p>
    <w:p>
      <w:pPr>
        <w:pStyle w:val="ListNumber"/>
      </w:pPr>
      <w:r>
        <w:t>Resolution and communication: the complainant and respondent are informed of the outcome to the extent appropriate, without necessarily disclosing full investigative detail.</w:t>
      </w:r>
    </w:p>
    <w:p>
      <w:pPr>
        <w:pStyle w:val="ListNumber"/>
      </w:pPr>
      <w:r>
        <w:t>No retaliation: reaffirms the non-retaliation commitment and identifies how a retaliation concern itself may be raised.</w:t>
      </w:r>
    </w:p>
    <w:p>
      <w:pPr>
        <w:pStyle w:val="Heading2"/>
      </w:pPr>
      <w:r>
        <w:t>4. Board Reporting Considerations</w:t>
      </w:r>
    </w:p>
    <w:p>
      <w:r>
        <w:t>Consistent with our Thursday discussion, we recommend the handbook procedure note, at a general level, that certain complaints (for example, those involving a member of leadership) will be reported to the Board or a designated Board committee. This aligns the written policy with the documentation and escalation approach we are advising on for the current matter, without requiring the handbook to reference any specific incident.</w:t>
      </w:r>
    </w:p>
    <w:p>
      <w:pPr>
        <w:pStyle w:val="Heading2"/>
      </w:pPr>
      <w:r>
        <w:t>5. Open Items Before This Section Is Final</w:t>
      </w:r>
    </w:p>
    <w:p>
      <w:pPr>
        <w:pStyle w:val="ListBullet"/>
      </w:pPr>
      <w:r>
        <w:t>Confirm the names/titles of the designated primary and backup intake contacts.</w:t>
      </w:r>
    </w:p>
    <w:p>
      <w:pPr>
        <w:pStyle w:val="ListBullet"/>
      </w:pPr>
      <w:r>
        <w:t>Confirm whether the Board wishes complaints against leadership routed to the full Board or a subcommittee.</w:t>
      </w:r>
    </w:p>
    <w:p>
      <w:pPr>
        <w:pStyle w:val="ListBullet"/>
      </w:pPr>
      <w:r>
        <w:t>Provide the current handbook document and any related standalone policies still outstanding, so cross-references can be reconciled.</w:t>
      </w:r>
    </w:p>
    <w:p>
      <w:pPr>
        <w:pStyle w:val="Heading2"/>
      </w:pPr>
      <w:r>
        <w:t>6. Next Steps</w:t>
      </w:r>
    </w:p>
    <w:p>
      <w:r>
        <w:t>Once you confirm the intake contacts and Board-reporting preference above, we will finalize this section and move to the remaining handbook sections within the five-week timeline you confirmed. Because the part-time and hybrid-schedule updates are minor, we expect to incorporate them efficiently alongside the other outstanding sections in that next cycle. As agreed, this drafting work is separate from — but coordinated with — our ongoing guidance on the pending staff complaint.</w:t>
      </w:r>
    </w:p>
    <w:p>
      <w:r>
        <w:t>For the file: this memorandum reflects the priority sections only (harassment policy and complaint procedure), consistent with Harriet's confirmation of the five-week review timeline and her prioritization of these sections; the part-time/hybrid-schedule updates (flagged as minor) and remaining handbook sections are outstanding and will be addressed in the next drafting cycle within that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