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Supplier Dispute — Position Memorandum</w:t>
      </w:r>
    </w:p>
    <w:p>
      <w:r>
        <w:t>This memorandum sets out the current assessment of the supplier dispute referenced in the Ardmore Elevator Acquisition file, and the reviewer-of-record markup applied to the draft. It remains in negotiation/review form and is filed as a working draft, not a final opinion or filed brief.</w:t>
      </w:r>
    </w:p>
    <w:p>
      <w:pPr>
        <w:pStyle w:val="Heading2"/>
      </w:pPr>
      <w:r>
        <w:t>Status</w:t>
      </w:r>
    </w:p>
    <w:p>
      <w:r>
        <w:t>Reviewer-of-record markup (IS notes) has been added throughout the draft. No prose has been rewritten. All changes are appended review annotations that preserve BA's existing notes and the underlying text. Sections adequately grounded in the record have been signed off; sections resting on thin evidence have been flagged for closure before this document could be considered for filing or issuance.</w:t>
      </w:r>
    </w:p>
    <w:p>
      <w:pPr>
        <w:pStyle w:val="Heading2"/>
      </w:pPr>
      <w:r>
        <w:t>Evidentiary Assessment</w:t>
      </w:r>
    </w:p>
    <w:p>
      <w:r>
        <w:t>The review flagged spots where conclusions were overstated relative to what the cited testimony and underlying record actually support. Those conclusions have been tightened in the annotations to match the record. The overall record on the supplier dispute is thin, and this thinness is central to the recommendation below.</w:t>
      </w:r>
    </w:p>
    <w:p>
      <w:pPr>
        <w:pStyle w:val="Heading2"/>
      </w:pPr>
      <w:r>
        <w:t>Recommendation</w:t>
      </w:r>
    </w:p>
    <w:p>
      <w:r>
        <w:t>The final decision is to hold the supplier dispute as a defense rather than file a counterclaim. This reflects the thin evidentiary record together with discovery costs that would outweigh any likely recovery. The recommended path forward is to source replacement elevators elsewhere and to properly document that replacement purchase, expected in the low four figures, against exposure risk.</w:t>
      </w:r>
    </w:p>
    <w:p>
      <w:pPr>
        <w:pStyle w:val="Heading2"/>
      </w:pPr>
      <w:r>
        <w:t>Impact on Ardmore Elevator Acquisition</w:t>
      </w:r>
    </w:p>
    <w:p>
      <w:r>
        <w:t>This position does not affect the Ardmore Elevator Acquisition closing timeline. The fee estimate circulated ahead of the board call reflects this settled no-counterclaim decision in its supplier dispute line.</w:t>
      </w:r>
    </w:p>
    <w:p>
      <w:pPr>
        <w:pStyle w:val="Heading2"/>
      </w:pPr>
      <w:r>
        <w:t>Outstanding Items Before Closure</w:t>
      </w:r>
    </w:p>
    <w:p>
      <w:pPr>
        <w:pStyle w:val="ListNumber"/>
      </w:pPr>
      <w:r>
        <w:t>Close remaining thin-evidence flags identified in the reviewer markup before this document is treated as final.</w:t>
      </w:r>
    </w:p>
    <w:p>
      <w:pPr>
        <w:pStyle w:val="ListNumber"/>
      </w:pPr>
      <w:r>
        <w:t>Confirm documentation of the replacement elevator purchase once sourced.</w:t>
      </w:r>
    </w:p>
    <w:p>
      <w:pPr>
        <w:pStyle w:val="ListNumber"/>
      </w:pPr>
      <w:r>
        <w:t>Reconfirm no downstream effect on the Ardmore closing checklist once the replacement purchase is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