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Ardmore Elevator – Updated Fee Estimate</w:t>
      </w:r>
    </w:p>
    <w:p>
      <w:r>
        <w:t>Prepared ahead of the board call to reflect current status of the closing checklist, including the two remaining open items and the additional time associated with escalation on each. This estimate supersedes any prior figure circulated to the deal team.</w:t>
      </w:r>
    </w:p>
    <w:p>
      <w:pPr>
        <w:pStyle w:val="Heading2"/>
      </w:pPr>
      <w:r>
        <w:t>Checklist Status Summary</w:t>
      </w:r>
    </w:p>
    <w:p>
      <w:pPr>
        <w:pStyle w:val="ListBullet"/>
      </w:pPr>
      <w:r>
        <w:t>Good standing certificates: 11 of 12 confirmed. Ohio remains outstanding (corrected from an earlier 12/12 report circulated in error; all recipients have been notified of the correction). Ohio is being actively chased today via direct call/email to the registered agent, ahead of the board call, and is expected to be the sole blocker on the closing checklist once Whitfield is resolved.</w:t>
      </w:r>
    </w:p>
    <w:p>
      <w:pPr>
        <w:pStyle w:val="ListBullet"/>
      </w:pPr>
      <w:r>
        <w:t>Whitfield estoppel deadline letter: remains open. No substantive response received from Whitfield's counsel despite repeated outreach. Escalation has now moved to direct correspondence with Whitfield's counsel (per the escalation email thread with Quentin Sarr), beyond the earlier supervisor-level outreach. Quentin Sarr has confirmed he will continue chasing Dov directly; no substantive response has been received as of this update.</w:t>
      </w:r>
    </w:p>
    <w:p>
      <w:pPr>
        <w:pStyle w:val="ListBullet"/>
      </w:pPr>
      <w:r>
        <w:t>All other checklist items: closed; ownership and distribution unchanged.</w:t>
      </w:r>
    </w:p>
    <w:p>
      <w:pPr>
        <w:pStyle w:val="Heading2"/>
      </w:pPr>
      <w:r>
        <w:t>Basis for Revision</w:t>
      </w:r>
    </w:p>
    <w:p>
      <w:r>
        <w:t>The prior estimate assumed good standing was fully resolved and that the Whitfield estoppel item would close on ordinary follow-up. Neither assumption holds. Ohio good standing remains outstanding and requires continued tracking; it is being actively chased today, ahead of the board call, via direct outreach to the registered agent, and is expected to be the last open item once Whitfield closes. On Whitfield, escalation past primary contact (Dov) has been necessary: a parallel escalation to his supervisor/counsel was initiated, a separate escalation letter was sent to the same audience after Dov's continued silence produced no specifics, and escalation has since continued directly with Whitfield's counsel, with Quentin Sarr continuing to chase Dov in parallel and still no substantive response received. Both escalation tracks add time beyond the original scope and are reflected below.</w:t>
      </w:r>
    </w:p>
    <w:p>
      <w:pPr>
        <w:pStyle w:val="Heading2"/>
      </w:pPr>
      <w:r>
        <w:t>Updated Fee Estimate</w:t>
      </w:r>
    </w:p>
    <w:tbl>
      <w:tblPr>
        <w:tblW w:type="auto" w:w="0"/>
        <w:tblLook w:firstColumn="1" w:firstRow="1" w:lastColumn="0" w:lastRow="0" w:noHBand="0" w:noVBand="1" w:val="04A0"/>
      </w:tblPr>
      <w:tblGrid>
        <w:gridCol w:w="2160"/>
        <w:gridCol w:w="2160"/>
        <w:gridCol w:w="2160"/>
        <w:gridCol w:w="2160"/>
      </w:tblGrid>
      <w:tr>
        <w:tc>
          <w:tcPr>
            <w:tcW w:type="dxa" w:w="2160"/>
          </w:tcPr>
          <w:p>
            <w:r>
              <w:t>Category</w:t>
            </w:r>
          </w:p>
        </w:tc>
        <w:tc>
          <w:tcPr>
            <w:tcW w:type="dxa" w:w="2160"/>
          </w:tcPr>
          <w:p>
            <w:r>
              <w:t>Prior Estimate</w:t>
            </w:r>
          </w:p>
        </w:tc>
        <w:tc>
          <w:tcPr>
            <w:tcW w:type="dxa" w:w="2160"/>
          </w:tcPr>
          <w:p>
            <w:r>
              <w:t>Revised Estimate</w:t>
            </w:r>
          </w:p>
        </w:tc>
        <w:tc>
          <w:tcPr>
            <w:tcW w:type="dxa" w:w="2160"/>
          </w:tcPr>
          <w:p>
            <w:r>
              <w:t>Driver</w:t>
            </w:r>
          </w:p>
        </w:tc>
      </w:tr>
      <w:tr>
        <w:tc>
          <w:tcPr>
            <w:tcW w:type="dxa" w:w="2160"/>
          </w:tcPr>
          <w:p>
            <w:r>
              <w:t>Closing checklist administration</w:t>
            </w:r>
          </w:p>
        </w:tc>
        <w:tc>
          <w:tcPr>
            <w:tcW w:type="dxa" w:w="2160"/>
          </w:tcPr>
          <w:p>
            <w:r>
              <w:t>$18,500</w:t>
            </w:r>
          </w:p>
        </w:tc>
        <w:tc>
          <w:tcPr>
            <w:tcW w:type="dxa" w:w="2160"/>
          </w:tcPr>
          <w:p>
            <w:r>
              <w:t>$21,000</w:t>
            </w:r>
          </w:p>
        </w:tc>
        <w:tc>
          <w:tcPr>
            <w:tcW w:type="dxa" w:w="2160"/>
          </w:tcPr>
          <w:p>
            <w:r>
              <w:t>Extended tracking of OH good standing and correction/reconfirmation of status to deal team</w:t>
            </w:r>
          </w:p>
        </w:tc>
      </w:tr>
      <w:tr>
        <w:tc>
          <w:tcPr>
            <w:tcW w:type="dxa" w:w="2160"/>
          </w:tcPr>
          <w:p>
            <w:r>
              <w:t>Whitfield estoppel follow-up</w:t>
            </w:r>
          </w:p>
        </w:tc>
        <w:tc>
          <w:tcPr>
            <w:tcW w:type="dxa" w:w="2160"/>
          </w:tcPr>
          <w:p>
            <w:r>
              <w:t>$4,000</w:t>
            </w:r>
          </w:p>
        </w:tc>
        <w:tc>
          <w:tcPr>
            <w:tcW w:type="dxa" w:w="2160"/>
          </w:tcPr>
          <w:p>
            <w:r>
              <w:t>$9,500</w:t>
            </w:r>
          </w:p>
        </w:tc>
        <w:tc>
          <w:tcPr>
            <w:tcW w:type="dxa" w:w="2160"/>
          </w:tcPr>
          <w:p>
            <w:r>
              <w:t>Escalation past primary contact; parallel outreach to supervisor/counsel; drafting and issuance of escalation letter; continued direct escalation to Whitfield's counsel</w:t>
            </w:r>
          </w:p>
        </w:tc>
      </w:tr>
      <w:tr>
        <w:tc>
          <w:tcPr>
            <w:tcW w:type="dxa" w:w="2160"/>
          </w:tcPr>
          <w:p>
            <w:r>
              <w:t>General deal-team coordination</w:t>
            </w:r>
          </w:p>
        </w:tc>
        <w:tc>
          <w:tcPr>
            <w:tcW w:type="dxa" w:w="2160"/>
          </w:tcPr>
          <w:p>
            <w:r>
              <w:t>$6,000</w:t>
            </w:r>
          </w:p>
        </w:tc>
        <w:tc>
          <w:tcPr>
            <w:tcW w:type="dxa" w:w="2160"/>
          </w:tcPr>
          <w:p>
            <w:r>
              <w:t>$7,000</w:t>
            </w:r>
          </w:p>
        </w:tc>
        <w:tc>
          <w:tcPr>
            <w:tcW w:type="dxa" w:w="2160"/>
          </w:tcPr>
          <w:p>
            <w:r>
              <w:t>Additional status calls and clarification of good-standing discrepancy</w:t>
            </w:r>
          </w:p>
        </w:tc>
      </w:tr>
      <w:tr>
        <w:tc>
          <w:tcPr>
            <w:tcW w:type="dxa" w:w="2160"/>
          </w:tcPr>
          <w:p>
            <w:r>
              <w:t>Total</w:t>
            </w:r>
          </w:p>
        </w:tc>
        <w:tc>
          <w:tcPr>
            <w:tcW w:type="dxa" w:w="2160"/>
          </w:tcPr>
          <w:p>
            <w:r>
              <w:t>$28,500</w:t>
            </w:r>
          </w:p>
        </w:tc>
        <w:tc>
          <w:tcPr>
            <w:tcW w:type="dxa" w:w="2160"/>
          </w:tcPr>
          <w:p>
            <w:r>
              <w:t>$37,500</w:t>
            </w:r>
          </w:p>
        </w:tc>
        <w:tc>
          <w:tcPr>
            <w:tcW w:type="dxa" w:w="2160"/>
          </w:tcPr>
          <w:p>
            <w:r/>
          </w:p>
        </w:tc>
      </w:tr>
    </w:tbl>
    <w:p>
      <w:pPr>
        <w:pStyle w:val="Heading2"/>
      </w:pPr>
      <w:r>
        <w:t>Outlook</w:t>
      </w:r>
    </w:p>
    <w:p>
      <w:r>
        <w:t>If Whitfield's counsel produces a substantive response before the next checklist review, the estoppel line item should hold at the revised figure. If escalation continues without resolution, a further revision should be expected. Ohio good standing is not expected to add materially to fees once received; it is a tracking item, not a negotiation, and is currently the sole blocking item aside from Whitfield. Direct outreach to the Ohio registered agent is underway today, and an update will be provided once a response is received.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