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Tracking Memo — Cecile/Ardmore Good Standing Filing</w:t>
      </w:r>
    </w:p>
    <w:p>
      <w:r>
        <w:t>From: Hyun-woo Bae, Senior Associate, Litigation</w:t>
      </w:r>
    </w:p>
    <w:p>
      <w:r>
        <w:t>Re: Status consolidation on the Cecile/Ardmore good standing filing deadline, following Thandiwe's confirmation that the deadline remains open</w:t>
      </w:r>
    </w:p>
    <w:p>
      <w:pPr>
        <w:pStyle w:val="Heading2"/>
      </w:pPr>
      <w:r>
        <w:t>Summary</w:t>
      </w:r>
    </w:p>
    <w:p>
      <w:r>
        <w:t>1. The Cecile/Ardmore good standing filing deadline remains open — Thandiwe has confirmed no change to the filing date. This memo consolidates current status across the related workstreams so the team has one reference point going into the meet-and-confer.</w:t>
      </w:r>
    </w:p>
    <w:p>
      <w:r>
        <w:t>2. The disputed-categories consolidation loop is now closed and has been removed from the open follow-up list. Everything else tracked below remains open, unchanged, or newly flagged for partner attention.</w:t>
      </w:r>
    </w:p>
    <w:p>
      <w:pPr>
        <w:pStyle w:val="Heading2"/>
      </w:pPr>
      <w:r>
        <w:t>1. Deadline Status</w:t>
      </w:r>
    </w:p>
    <w:p>
      <w:r>
        <w:t>Thandiwe has confirmed today that the Cecile/Ardmore good standing filing deadline stays open. No further action required on the deadline itself at this time; this memo tracks the items that need to be resolved before that filing can proceed cleanly.</w:t>
      </w:r>
    </w:p>
    <w:p>
      <w:pPr>
        <w:pStyle w:val="Heading2"/>
      </w:pPr>
      <w:r>
        <w:t>2. Disputed-Categories Consolidation — Closed</w:t>
      </w:r>
    </w:p>
    <w:p>
      <w:r>
        <w:t>Per today's review, the consolidation loop on the disputed-categories table is fully closed. Lucien raised the outstanding point on yesterday's 14:00 call; Noor has since confirmed resolution. The disputed-categories table has been updated accordingly and removed as a lingering follow-up item.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Prior Status</w:t>
            </w:r>
          </w:p>
        </w:tc>
        <w:tc>
          <w:tcPr>
            <w:tcW w:type="dxa" w:w="2160"/>
          </w:tcPr>
          <w:p>
            <w:r>
              <w:t>Current Status</w:t>
            </w:r>
          </w:p>
        </w:tc>
        <w:tc>
          <w:tcPr>
            <w:tcW w:type="dxa" w:w="2160"/>
          </w:tcPr>
          <w:p>
            <w:r>
              <w:t>Resolved By</w:t>
            </w:r>
          </w:p>
        </w:tc>
      </w:tr>
      <w:tr>
        <w:tc>
          <w:tcPr>
            <w:tcW w:type="dxa" w:w="2160"/>
          </w:tcPr>
          <w:p>
            <w:r>
              <w:t>Consolidation loop (disputed categories)</w:t>
            </w:r>
          </w:p>
        </w:tc>
        <w:tc>
          <w:tcPr>
            <w:tcW w:type="dxa" w:w="2160"/>
          </w:tcPr>
          <w:p>
            <w:r>
              <w:t>Open — raised by Lucien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Noor (confirmed)</w:t>
            </w:r>
          </w:p>
        </w:tc>
      </w:tr>
    </w:tbl>
    <w:p>
      <w:pPr>
        <w:pStyle w:val="Heading2"/>
      </w:pPr>
      <w:r>
        <w:t>3. Ardmore Chain-of-Access Routing vs. Reply Brief Filing — Do Not Conflate</w:t>
      </w:r>
    </w:p>
    <w:p>
      <w:r>
        <w:t>1. Ardmore chain-of-access routing: Closed. This should not be treated as an open item at the meet-and-confer.</w:t>
      </w:r>
    </w:p>
    <w:p>
      <w:r>
        <w:t>2. Reply brief filing status (Sable Ridge Transport — Driver Meal-Break Collective Action, Reply Brief in Further Support of Plaintiffs' Motion for Conditional Certification): Still open. The team should keep these two threads distinct; they are unrelated matters that happen to be moving in parallel and have been informally conflated in prior discussion.</w:t>
      </w:r>
    </w:p>
    <w:p>
      <w:pPr>
        <w:pStyle w:val="Heading2"/>
      </w:pPr>
      <w:r>
        <w:t>4. Privilege Log and Section I / Ardmore Closure — Unchanged</w:t>
      </w:r>
    </w:p>
    <w:p>
      <w:r>
        <w:t>Privilege log status and Section I/Ardmore closure are unchanged and have been reconfirmed this cycle, consistent with today's review sweep. No new action items here.</w:t>
      </w:r>
    </w:p>
    <w:p>
      <w:pPr>
        <w:pStyle w:val="Heading2"/>
      </w:pPr>
      <w:r>
        <w:t>5. Adjacent Open Items (Tracked for Awareness, Not Ardmore Scope)</w:t>
      </w:r>
    </w:p>
    <w:p>
      <w:r>
        <w:t>1. Deshmukh/Ardmore-adjacent item: Confirmed out of scope for Ardmore Elevator pending Jamal's confirmation of representation. Documented; no further action pending that confirmation.</w:t>
      </w:r>
    </w:p>
    <w:p>
      <w:r>
        <w:t>2. Written confirmation to Priyanka on C&amp;D/patent status closeout: Sent. This is confirmation of send only, not acknowledgment — consistent with Klara/Rosalie's read, both items remain open on Gideon's side pending her response.</w:t>
      </w:r>
    </w:p>
    <w:p>
      <w:pPr>
        <w:pStyle w:val="Heading2"/>
      </w:pPr>
      <w:r>
        <w:t>6. Unresolved — Position Statement Review Sign-Off Ownership</w:t>
      </w:r>
    </w:p>
    <w:p>
      <w:r>
        <w:t>1. Open question: who owns sign-off on the Position Statement review approach — Jamal or the partner. This is not my call to resolve, only to flag.</w:t>
      </w:r>
    </w:p>
    <w:p>
      <w:r>
        <w:t>2. Status: Raised with Thandiwe and reiterated; Jamal has not responded. Given the EOD tomorrow deadline, I have proposed — and am now escalating — this question directly to Bennett rather than carrying it unresolved into tomorrow's docket call.</w:t>
      </w:r>
    </w:p>
    <w:p>
      <w:pPr>
        <w:pStyle w:val="Heading2"/>
      </w:pPr>
      <w:r>
        <w:t>7. Preparation Note — Docket-Call Pattern for Partner Attention</w:t>
      </w:r>
    </w:p>
    <w:p>
      <w:r>
        <w:t>Flagging for partner attention: the recurring pattern of open ownership/sign-off questions surfacing right before docket calls (as with item 6 above) is worth a broader look, separate from the Cecile/Ardmore filing itself. Raising here so it isn't lost in the deadline-specific tracking.</w:t>
      </w:r>
    </w:p>
    <w:p>
      <w:pPr>
        <w:pStyle w:val="Heading2"/>
      </w:pPr>
      <w:r>
        <w:t>Open Items Going Into Meet-and-Confer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Next Step</w:t>
            </w:r>
          </w:p>
        </w:tc>
      </w:tr>
      <w:tr>
        <w:tc>
          <w:tcPr>
            <w:tcW w:type="dxa" w:w="2160"/>
          </w:tcPr>
          <w:p>
            <w:r>
              <w:t>Cecile/Ardmore good standing filing deadline</w:t>
            </w:r>
          </w:p>
        </w:tc>
        <w:tc>
          <w:tcPr>
            <w:tcW w:type="dxa" w:w="2160"/>
          </w:tcPr>
          <w:p>
            <w:r>
              <w:t>Open (confirmed by Thandiwe)</w:t>
            </w:r>
          </w:p>
        </w:tc>
        <w:tc>
          <w:tcPr>
            <w:tcW w:type="dxa" w:w="2160"/>
          </w:tcPr>
          <w:p>
            <w:r>
              <w:t>Hyun-woo / Thandiwe</w:t>
            </w:r>
          </w:p>
        </w:tc>
        <w:tc>
          <w:tcPr>
            <w:tcW w:type="dxa" w:w="2160"/>
          </w:tcPr>
          <w:p>
            <w:r>
              <w:t>Monitor; no change needed now</w:t>
            </w:r>
          </w:p>
        </w:tc>
      </w:tr>
      <w:tr>
        <w:tc>
          <w:tcPr>
            <w:tcW w:type="dxa" w:w="2160"/>
          </w:tcPr>
          <w:p>
            <w:r>
              <w:t>Disputed-categories consolidation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Noor (confirmed)</w:t>
            </w:r>
          </w:p>
        </w:tc>
        <w:tc>
          <w:tcPr>
            <w:tcW w:type="dxa" w:w="2160"/>
          </w:tcPr>
          <w:p>
            <w:r>
              <w:t>None — closed out</w:t>
            </w:r>
          </w:p>
        </w:tc>
      </w:tr>
      <w:tr>
        <w:tc>
          <w:tcPr>
            <w:tcW w:type="dxa" w:w="2160"/>
          </w:tcPr>
          <w:p>
            <w:r>
              <w:t>Ardmore chain-of-access routing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Hyun-woo</w:t>
            </w:r>
          </w:p>
        </w:tc>
        <w:tc>
          <w:tcPr>
            <w:tcW w:type="dxa" w:w="2160"/>
          </w:tcPr>
          <w:p>
            <w:r>
              <w:t>None — keep distinct from reply brief item</w:t>
            </w:r>
          </w:p>
        </w:tc>
      </w:tr>
      <w:tr>
        <w:tc>
          <w:tcPr>
            <w:tcW w:type="dxa" w:w="2160"/>
          </w:tcPr>
          <w:p>
            <w:r>
              <w:t>Reply brief filing (Sable Ridge)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Litigation team</w:t>
            </w:r>
          </w:p>
        </w:tc>
        <w:tc>
          <w:tcPr>
            <w:tcW w:type="dxa" w:w="2160"/>
          </w:tcPr>
          <w:p>
            <w:r>
              <w:t>Track separately from Ardmore</w:t>
            </w:r>
          </w:p>
        </w:tc>
      </w:tr>
      <w:tr>
        <w:tc>
          <w:tcPr>
            <w:tcW w:type="dxa" w:w="2160"/>
          </w:tcPr>
          <w:p>
            <w:r>
              <w:t>Privilege log / Section I Ardmore closure</w:t>
            </w:r>
          </w:p>
        </w:tc>
        <w:tc>
          <w:tcPr>
            <w:tcW w:type="dxa" w:w="2160"/>
          </w:tcPr>
          <w:p>
            <w:r>
              <w:t>Unchanged, reconfirmed</w:t>
            </w:r>
          </w:p>
        </w:tc>
        <w:tc>
          <w:tcPr>
            <w:tcW w:type="dxa" w:w="2160"/>
          </w:tcPr>
          <w:p>
            <w:r>
              <w:t>Hyun-woo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Deshmukh/Ardmore-adjacent scope</w:t>
            </w:r>
          </w:p>
        </w:tc>
        <w:tc>
          <w:tcPr>
            <w:tcW w:type="dxa" w:w="2160"/>
          </w:tcPr>
          <w:p>
            <w:r>
              <w:t>Out of scope, pending confirmation</w:t>
            </w:r>
          </w:p>
        </w:tc>
        <w:tc>
          <w:tcPr>
            <w:tcW w:type="dxa" w:w="2160"/>
          </w:tcPr>
          <w:p>
            <w:r>
              <w:t>Jamal</w:t>
            </w:r>
          </w:p>
        </w:tc>
        <w:tc>
          <w:tcPr>
            <w:tcW w:type="dxa" w:w="2160"/>
          </w:tcPr>
          <w:p>
            <w:r>
              <w:t>Await confirmation of representation</w:t>
            </w:r>
          </w:p>
        </w:tc>
      </w:tr>
      <w:tr>
        <w:tc>
          <w:tcPr>
            <w:tcW w:type="dxa" w:w="2160"/>
          </w:tcPr>
          <w:p>
            <w:r>
              <w:t>Priyanka C&amp;D/patent status closeout</w:t>
            </w:r>
          </w:p>
        </w:tc>
        <w:tc>
          <w:tcPr>
            <w:tcW w:type="dxa" w:w="2160"/>
          </w:tcPr>
          <w:p>
            <w:r>
              <w:t>Sent, unacknowledged</w:t>
            </w:r>
          </w:p>
        </w:tc>
        <w:tc>
          <w:tcPr>
            <w:tcW w:type="dxa" w:w="2160"/>
          </w:tcPr>
          <w:p>
            <w:r>
              <w:t>Gideon (pending)</w:t>
            </w:r>
          </w:p>
        </w:tc>
        <w:tc>
          <w:tcPr>
            <w:tcW w:type="dxa" w:w="2160"/>
          </w:tcPr>
          <w:p>
            <w:r>
              <w:t>Await Gideon's response</w:t>
            </w:r>
          </w:p>
        </w:tc>
      </w:tr>
      <w:tr>
        <w:tc>
          <w:tcPr>
            <w:tcW w:type="dxa" w:w="2160"/>
          </w:tcPr>
          <w:p>
            <w:r>
              <w:t>Position Statement review sign-off ownership</w:t>
            </w:r>
          </w:p>
        </w:tc>
        <w:tc>
          <w:tcPr>
            <w:tcW w:type="dxa" w:w="2160"/>
          </w:tcPr>
          <w:p>
            <w:r>
              <w:t>Unresolved</w:t>
            </w:r>
          </w:p>
        </w:tc>
        <w:tc>
          <w:tcPr>
            <w:tcW w:type="dxa" w:w="2160"/>
          </w:tcPr>
          <w:p>
            <w:r>
              <w:t>Jamal vs. partner (Bennett escalation)</w:t>
            </w:r>
          </w:p>
        </w:tc>
        <w:tc>
          <w:tcPr>
            <w:tcW w:type="dxa" w:w="2160"/>
          </w:tcPr>
          <w:p>
            <w:r>
              <w:t>Escalated to Bennett ahead of EOD tomorrow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