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Bennett</w:t>
            </w:r>
          </w:p>
        </w:tc>
      </w:tr>
      <w:tr>
        <w:tc>
          <w:tcPr>
            <w:tcW w:type="dxa" w:w="4320"/>
          </w:tcPr>
          <w:p>
            <w:r>
              <w:t>From</w:t>
            </w:r>
          </w:p>
        </w:tc>
        <w:tc>
          <w:tcPr>
            <w:tcW w:type="dxa" w:w="4320"/>
          </w:tcPr>
          <w:p>
            <w:r>
              <w:t>Hyun-woo Bae</w:t>
            </w:r>
          </w:p>
        </w:tc>
      </w:tr>
      <w:tr>
        <w:tc>
          <w:tcPr>
            <w:tcW w:type="dxa" w:w="4320"/>
          </w:tcPr>
          <w:p>
            <w:r>
              <w:t>Re</w:t>
            </w:r>
          </w:p>
        </w:tc>
        <w:tc>
          <w:tcPr>
            <w:tcW w:type="dxa" w:w="4320"/>
          </w:tcPr>
          <w:p>
            <w:r>
              <w:t>Ardmore Elevator good-standing filing – missed deadline, remediation, and exposure assessment</w:t>
            </w:r>
          </w:p>
        </w:tc>
      </w:tr>
      <w:tr>
        <w:tc>
          <w:tcPr>
            <w:tcW w:type="dxa" w:w="4320"/>
          </w:tcPr>
          <w:p>
            <w:r>
              <w:t>Status</w:t>
            </w:r>
          </w:p>
        </w:tc>
        <w:tc>
          <w:tcPr>
            <w:tcW w:type="dxa" w:w="4320"/>
          </w:tcPr>
          <w:p>
            <w:r>
              <w:t>Working draft – for review; updated to reflect chain-of-access resolution and ownership question still open</w:t>
            </w:r>
          </w:p>
        </w:tc>
      </w:tr>
    </w:tbl>
    <w:p>
      <w:pPr>
        <w:pStyle w:val="Heading2"/>
      </w:pPr>
      <w:r>
        <w:t>1. Summary</w:t>
      </w:r>
    </w:p>
    <w:p>
      <w:r>
        <w:t>The Ardmore Elevator good-standing filing missed its filing deadline. The immediate cause was an unresolved ownership question: Ingrid and Samir had not confirmed, one way or the other, whether either holds the ownership interest required to authorize and sign the filing. That question was escalated with a 3:30 PM cutoff for a direct yes/no answer, ahead of the clerk's 4:00 PM deadline. As of this update, the ownership question remains unresolved and is being carried forward as a standing open item rather than a same-day fix. Separately, a related but distinct question about chain-of-access routing for Ardmore has been resolved and closed out — that routing responsibility sits with Samir, not with the ownership determination, and does not bear on the good-standing lapse. This memo documents (1) what happened and why the deadline was missed, (2) the steps required to reopen the filing and cure the lapse, and (3) our assessment of exposure to the client and to the matter arising from the delay.</w:t>
      </w:r>
    </w:p>
    <w:p>
      <w:pPr>
        <w:pStyle w:val="Heading2"/>
      </w:pPr>
      <w:r>
        <w:t>2. What happened</w:t>
      </w:r>
    </w:p>
    <w:p>
      <w:pPr>
        <w:pStyle w:val="ListNumber"/>
      </w:pPr>
      <w:r>
        <w:t>The good-standing filing for Ardmore Elevator required confirmation of current ownership before it could be signed and submitted. Neither Ingrid nor Samir had confirmed ownership status as of the relevant checkpoint today.</w:t>
      </w:r>
    </w:p>
    <w:p>
      <w:pPr>
        <w:pStyle w:val="ListNumber"/>
      </w:pPr>
      <w:r>
        <w:t>To avoid an open-ended delay, we forced a direct yes/no from both individuals with a 3:30 PM cutoff, in advance of the clerk's 4:00 PM deadline for same-day filing.</w:t>
      </w:r>
    </w:p>
    <w:p>
      <w:pPr>
        <w:pStyle w:val="ListNumber"/>
      </w:pPr>
      <w:r>
        <w:t>Both individuals ultimately declined to confirm ownership by the cutoff, so the filing could not go forward on the original track today, and the deadline was missed as a result of an unresolved authorization gap, not a drafting or procedural failure on our end.</w:t>
      </w:r>
    </w:p>
    <w:p>
      <w:pPr>
        <w:pStyle w:val="ListNumber"/>
      </w:pPr>
      <w:r>
        <w:t>Separately, this matter had an unrelated docket-hygiene issue that is now fully resolved: chain-of-access routing for Ardmore was initially unclear and could not be tied to the related-party conflicts memo, but has since been confirmed as Samir's responsibility, not a function of the ownership determination. That item is now closed out of this file and does not bear on the good-standing lapse.</w:t>
      </w:r>
    </w:p>
    <w:p>
      <w:pPr>
        <w:pStyle w:val="ListNumber"/>
      </w:pPr>
      <w:r>
        <w:t>The ownership question itself remains open. Per the most recent discussion, the team is leaving ownership unresolved for now rather than forcing a same-day answer, and it is being tracked as a standing item separate from today's filing deadline.</w:t>
      </w:r>
    </w:p>
    <w:p>
      <w:pPr>
        <w:pStyle w:val="Heading2"/>
      </w:pPr>
      <w:r>
        <w:t>3. Steps to reopen and cure the lapse</w:t>
      </w:r>
    </w:p>
    <w:p>
      <w:pPr>
        <w:pStyle w:val="ListNumber"/>
      </w:pPr>
      <w:r>
        <w:t>Obtain the ownership confirmation from Ingrid and/or Samir as soon as either is able to provide it; because the 3:30 cutoff has passed without confirmation, same-day cure is no longer available and the filing should proceed on a next-business-day or later track once ownership is confirmed.</w:t>
      </w:r>
    </w:p>
    <w:p>
      <w:pPr>
        <w:pStyle w:val="ListNumber"/>
      </w:pPr>
      <w:r>
        <w:t>Contact the clerk's office to determine whether a late filing, a short administrative extension, or a next-business-day resubmission is available, and document the clerk's response.</w:t>
      </w:r>
    </w:p>
    <w:p>
      <w:pPr>
        <w:pStyle w:val="ListNumber"/>
      </w:pPr>
      <w:r>
        <w:t>Assign a single owner — not yet designated — for filing confirmation, turnaround, and tracking through to done. This remains the open gap: with both Ingrid and Samir having declined to confirm ownership for now, someone still needs to own the follow-through so the filing does not stall indefinitely.</w:t>
      </w:r>
    </w:p>
    <w:p>
      <w:pPr>
        <w:pStyle w:val="ListNumber"/>
      </w:pPr>
      <w:r>
        <w:t>Once ownership is confirmed (by either individual or by a substitute authorized signatory), re-execute the filing packet and submit immediately; do not wait for a batch or end-of-day submission window.</w:t>
      </w:r>
    </w:p>
    <w:p>
      <w:pPr>
        <w:pStyle w:val="ListNumber"/>
      </w:pPr>
      <w:r>
        <w:t>Confirm receipt and acceptance by the clerk in writing, and update the client file to reflect the corrected filing date and the reason for the delay.</w:t>
      </w:r>
    </w:p>
    <w:p>
      <w:pPr>
        <w:pStyle w:val="ListNumber"/>
      </w:pPr>
      <w:r>
        <w:t>Calendar a check-in to confirm no late fee, penalty notice, or good-standing lapse flag has been issued by the state as a result of the missed original deadline; if one is issued, docket it for immediate response.</w:t>
      </w:r>
    </w:p>
    <w:p>
      <w:pPr>
        <w:pStyle w:val="ListNumber"/>
      </w:pPr>
      <w:r>
        <w:t>Note: chain-of-access routing for Ardmore is resolved and confirmed as Samir's responsibility; no further action is needed on that item, and it should not be conflated with the open ownership question above.</w:t>
      </w:r>
    </w:p>
    <w:p>
      <w:pPr>
        <w:pStyle w:val="Heading2"/>
      </w:pPr>
      <w:r>
        <w:t>4. Exposure assessment</w:t>
      </w:r>
    </w:p>
    <w:p>
      <w:pPr>
        <w:pStyle w:val="ListNumber"/>
      </w:pPr>
      <w:r>
        <w:t>Client exposure: a short lapse in good standing, if cured promptly, typically carries limited practical consequence beyond a reinstatement fee and administrative correction. The primary exposure is reputational and relationship-level — the client will reasonably ask why an ownership question sat unresolved long enough to threaten a statutory deadline, and now sits unresolved past the deadline itself.</w:t>
      </w:r>
    </w:p>
    <w:p>
      <w:pPr>
        <w:pStyle w:val="ListNumber"/>
      </w:pPr>
      <w:r>
        <w:t>Matter exposure: with the lapse not cured same-day, Ardmore Elevator's good-standing status could be flagged in any pending or upcoming transaction, financing, or third-party diligence request that depends on current good-standing certification. This risk is time-sensitive and grows the longer the lapse and the underlying ownership question remain unresolved.</w:t>
      </w:r>
    </w:p>
    <w:p>
      <w:pPr>
        <w:pStyle w:val="ListNumber"/>
      </w:pPr>
      <w:r>
        <w:t>Root-cause exposure: the underlying issue is an unresolved ownership record for Ardmore, not a filing mechanics failure. The team has now made a deliberate decision to leave ownership unresolved rather than force an answer, which changes this from a one-time near-miss to a known, standing gap. Until Ingrid's and Samir's ownership status is definitively documented, the same gap will recur at the next statutory or diligence-driven deadline.</w:t>
      </w:r>
    </w:p>
    <w:p>
      <w:pPr>
        <w:pStyle w:val="ListNumber"/>
      </w:pPr>
      <w:r>
        <w:t>Process exposure: absent a designated owner for filing confirmation and tracking, there is a risk that today's missed deadline repeats at the next deadline. Assigning ownership per Section 3 is the control that closes this exposure.</w:t>
      </w:r>
    </w:p>
    <w:p>
      <w:pPr>
        <w:pStyle w:val="ListNumber"/>
      </w:pPr>
      <w:r>
        <w:t>Resolved exposure (for reference): chain-of-access routing, which had been an open question tied to docket hygiene on this matter, is now confirmed as Samir's responsibility and closed. This is noted for completeness but does not affect the ownership-driven exposures above.</w:t>
      </w:r>
    </w:p>
    <w:p>
      <w:pPr>
        <w:pStyle w:val="Heading2"/>
      </w:pPr>
      <w:r>
        <w:t>5. Recommendation</w:t>
      </w:r>
    </w:p>
    <w:p>
      <w:r>
        <w:t>We recommend: (1) pursuing next-business-day cure with the clerk per Section 3 above, since same-day cure is no longer available; (2) designating a filing owner today, notwithstanding that the ownership question remains open; and (3) escalating the underlying Ardmore ownership ambiguity to Bennett as a standing open item, separate from today's filing deadline and from the now-resolved chain-of-access routing question, given its likelihood of recurring at future deadlines.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