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End-of-Day Docket Sweep — 3/25</w:t>
      </w:r>
    </w:p>
    <w:p>
      <w:r>
        <w:t>Prepared by Thandiwe Mokoena, Docket &amp; Calendar Manager. Continuity reference: End-of-Day Docket Sweep — 12/12.</w:t>
      </w:r>
    </w:p>
    <w:p>
      <w:pPr>
        <w:pStyle w:val="Heading2"/>
      </w:pPr>
      <w:r>
        <w:t>1. Ardmore Elevator — Good Standing Filing (Owner-Unresponsive)</w:t>
      </w:r>
    </w:p>
    <w:p>
      <w:r>
        <w:t>Status: OPEN. Deadline was 4:00 PM, missed. 0 days remaining. Owner Samir has not responded. Escalated to owner-unresponsive status and raised on today's docket call, consistent with the treatment agreed with Bennett on 12/12.</w:t>
      </w:r>
    </w:p>
    <w:p>
      <w:pPr>
        <w:pStyle w:val="ListBullet"/>
      </w:pPr>
      <w:r>
        <w:t>Deadline: 4:00 PM — MISSED</w:t>
      </w:r>
    </w:p>
    <w:p>
      <w:pPr>
        <w:pStyle w:val="ListBullet"/>
      </w:pPr>
      <w:r>
        <w:t>Days remaining: 0</w:t>
      </w:r>
    </w:p>
    <w:p>
      <w:pPr>
        <w:pStyle w:val="ListBullet"/>
      </w:pPr>
      <w:r>
        <w:t>Owner: Samir (non-responsive)</w:t>
      </w:r>
    </w:p>
    <w:p>
      <w:pPr>
        <w:pStyle w:val="ListBullet"/>
      </w:pPr>
      <w:r>
        <w:t>Escalation: Raised owner-unresponsive on today's docket call; confirmed by Bennett and Rosalie</w:t>
      </w:r>
    </w:p>
    <w:p>
      <w:pPr>
        <w:pStyle w:val="ListBullet"/>
      </w:pPr>
      <w:r>
        <w:t>Distinct from: Chain-of-access routing item (closed 12/12, separate line)</w:t>
      </w:r>
    </w:p>
    <w:p>
      <w:r>
        <w:t>This item remains separate from the chain-of-access routing item, which was logged closed 12/12 and redirected to Samir per Bennett's instruction. The two Ardmore mismatches were logged as two distinct docket lines on the same closing date at Rosalie's confirmation, per Bennett's instruction.</w:t>
      </w:r>
    </w:p>
    <w:p>
      <w:pPr>
        <w:pStyle w:val="Heading2"/>
      </w:pPr>
      <w:r>
        <w:t>2. Rosalie Split-Item Resolution</w:t>
      </w:r>
    </w:p>
    <w:p>
      <w:r>
        <w:t>Rosalie was asked to specify separate dates for the two Ardmore mismatches (good standing filing vs. chain-of-access routing) so each could be logged accurately. Resolution confirmed: both items are logged as closed on the same date, 12/12, as two separate docket lines, per Bennett's instruction. Chain-of-access routing is closed and owned by Samir; the good standing filing remains open and is not affected by this resolution — it is tracked independently under Item 1 above.</w:t>
      </w:r>
    </w:p>
    <w:p>
      <w:pPr>
        <w:pStyle w:val="ListNumber"/>
      </w:pPr>
      <w:r>
        <w:t>Chain-of-access routing — CLOSED 12/12, owner: Samir</w:t>
      </w:r>
    </w:p>
    <w:p>
      <w:pPr>
        <w:pStyle w:val="ListNumber"/>
      </w:pPr>
      <w:r>
        <w:t>Good standing filing — OPEN, 0 days remaining, owner: Samir (non-responsive), raised on today's docket call</w:t>
      </w:r>
    </w:p>
    <w:p>
      <w:pPr>
        <w:pStyle w:val="Heading2"/>
      </w:pPr>
      <w:r>
        <w:t>3. Doc-000030 Slide-Format Fix (Sable Ridge/Employment Deck)</w:t>
      </w:r>
    </w:p>
    <w:p>
      <w:r>
        <w:t>The docket review note on the Sable Ridge/employment deck misrepresented Ardmore as fully closed. In fact, only the chain-of-access routing piece was resolved; the good standing filing remained open with Samir unresponsive past the 4:00 PM deadline. The deck's owner was asked to correct this and has confirmed the fix.</w:t>
      </w:r>
    </w:p>
    <w:p>
      <w:pPr>
        <w:pStyle w:val="ListBullet"/>
      </w:pPr>
      <w:r>
        <w:t>Prior error: Slide note stated Ardmore fully closed</w:t>
      </w:r>
    </w:p>
    <w:p>
      <w:pPr>
        <w:pStyle w:val="ListBullet"/>
      </w:pPr>
      <w:r>
        <w:t>Correction confirmed: Chain-of-access routing shown as closed; good standing filing shown as still open, Samir non-responsive</w:t>
      </w:r>
    </w:p>
    <w:p>
      <w:pPr>
        <w:pStyle w:val="ListBullet"/>
      </w:pPr>
      <w:r>
        <w:t>Status: RESOLVED — slide corrected</w:t>
      </w:r>
    </w:p>
    <w:p>
      <w:pPr>
        <w:pStyle w:val="Heading2"/>
      </w:pPr>
      <w:r>
        <w:t>4. Sable Ridge Docket Linkage</w:t>
      </w:r>
    </w:p>
    <w:p>
      <w:r>
        <w:t>Sable Ridge docket entries (Driver Meal-Break Collective Action — Docket &amp; Deadline Review) are confirmed correctly linked to the newly created tracker document. This block is closed out independent of the ongoing Ardmore matter.</w:t>
      </w:r>
    </w:p>
    <w:p>
      <w:pPr>
        <w:pStyle w:val="Heading2"/>
      </w:pPr>
      <w:r>
        <w:t>5. Continuity Note — Reference to 12/12 Sweep</w:t>
      </w:r>
    </w:p>
    <w:p>
      <w:r>
        <w:t>This sweep carries forward the Ardmore good standing filing as unresolved since 12/12, when it was first restated as still open (missed 4:00 PM, 0 days remaining, Samir non-responsive) and flagged for the following day's docket call. The item remains open today, 3/25, and continues to be flagged owner-unresponsive.</w:t>
      </w:r>
    </w:p>
    <w:p>
      <w:pPr>
        <w:pStyle w:val="Heading2"/>
      </w:pPr>
      <w:r>
        <w:t>6. Today's Docket Call — Confirmation</w:t>
      </w:r>
    </w:p>
    <w:p>
      <w:r>
        <w:t>On today's docket call, the good standing filing was restated for the record as the sole remaining open Ardmore item. Bennett confirmed this is the one open item outstanding. Rosalie separately confirmed the filing was missed and that her records agree with the docket status above. No double-bookings or deadline conflicts were identified across other active matters during the sweep.</w:t>
      </w:r>
    </w:p>
    <w:p>
      <w:pPr>
        <w:pStyle w:val="ListBullet"/>
      </w:pPr>
      <w:r>
        <w:t>Bennett: confirmed filing is the one open Ardmore item</w:t>
      </w:r>
    </w:p>
    <w:p>
      <w:pPr>
        <w:pStyle w:val="ListBullet"/>
      </w:pPr>
      <w:r>
        <w:t>Rosalie: confirmed filing missed; records aligned</w:t>
      </w:r>
    </w:p>
    <w:p>
      <w:pPr>
        <w:pStyle w:val="ListBullet"/>
      </w:pPr>
      <w:r>
        <w:t>No double-bookings or deadline conflicts identified elsewhere on today's sweep</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Docket Item</w:t>
            </w:r>
          </w:p>
        </w:tc>
        <w:tc>
          <w:tcPr>
            <w:tcW w:type="dxa" w:w="1440"/>
          </w:tcPr>
          <w:p>
            <w:r>
              <w:t>Status</w:t>
            </w:r>
          </w:p>
        </w:tc>
        <w:tc>
          <w:tcPr>
            <w:tcW w:type="dxa" w:w="1440"/>
          </w:tcPr>
          <w:p>
            <w:r>
              <w:t>Deadline</w:t>
            </w:r>
          </w:p>
        </w:tc>
        <w:tc>
          <w:tcPr>
            <w:tcW w:type="dxa" w:w="1440"/>
          </w:tcPr>
          <w:p>
            <w:r>
              <w:t>Days Remaining</w:t>
            </w:r>
          </w:p>
        </w:tc>
        <w:tc>
          <w:tcPr>
            <w:tcW w:type="dxa" w:w="1440"/>
          </w:tcPr>
          <w:p>
            <w:r>
              <w:t>Owner</w:t>
            </w:r>
          </w:p>
        </w:tc>
        <w:tc>
          <w:tcPr>
            <w:tcW w:type="dxa" w:w="1440"/>
          </w:tcPr>
          <w:p>
            <w:r>
              <w:t>Notes</w:t>
            </w:r>
          </w:p>
        </w:tc>
      </w:tr>
      <w:tr>
        <w:tc>
          <w:tcPr>
            <w:tcW w:type="dxa" w:w="1440"/>
          </w:tcPr>
          <w:p>
            <w:r>
              <w:t>Ardmore — Good Standing Filing</w:t>
            </w:r>
          </w:p>
        </w:tc>
        <w:tc>
          <w:tcPr>
            <w:tcW w:type="dxa" w:w="1440"/>
          </w:tcPr>
          <w:p>
            <w:r>
              <w:t>OPEN</w:t>
            </w:r>
          </w:p>
        </w:tc>
        <w:tc>
          <w:tcPr>
            <w:tcW w:type="dxa" w:w="1440"/>
          </w:tcPr>
          <w:p>
            <w:r>
              <w:t>4:00 PM (missed)</w:t>
            </w:r>
          </w:p>
        </w:tc>
        <w:tc>
          <w:tcPr>
            <w:tcW w:type="dxa" w:w="1440"/>
          </w:tcPr>
          <w:p>
            <w:r>
              <w:t>0</w:t>
            </w:r>
          </w:p>
        </w:tc>
        <w:tc>
          <w:tcPr>
            <w:tcW w:type="dxa" w:w="1440"/>
          </w:tcPr>
          <w:p>
            <w:r>
              <w:t>Samir (non-responsive)</w:t>
            </w:r>
          </w:p>
        </w:tc>
        <w:tc>
          <w:tcPr>
            <w:tcW w:type="dxa" w:w="1440"/>
          </w:tcPr>
          <w:p>
            <w:r>
              <w:t>Flagged owner-unresponsive; carried from 12/12 sweep; confirmed by Bennett and Rosalie on today's call</w:t>
            </w:r>
          </w:p>
        </w:tc>
      </w:tr>
      <w:tr>
        <w:tc>
          <w:tcPr>
            <w:tcW w:type="dxa" w:w="1440"/>
          </w:tcPr>
          <w:p>
            <w:r>
              <w:t>Ardmore — Chain-of-Access Routing</w:t>
            </w:r>
          </w:p>
        </w:tc>
        <w:tc>
          <w:tcPr>
            <w:tcW w:type="dxa" w:w="1440"/>
          </w:tcPr>
          <w:p>
            <w:r>
              <w:t>CLOSED 12/12</w:t>
            </w:r>
          </w:p>
        </w:tc>
        <w:tc>
          <w:tcPr>
            <w:tcW w:type="dxa" w:w="1440"/>
          </w:tcPr>
          <w:p>
            <w:r>
              <w:t>N/A</w:t>
            </w:r>
          </w:p>
        </w:tc>
        <w:tc>
          <w:tcPr>
            <w:tcW w:type="dxa" w:w="1440"/>
          </w:tcPr>
          <w:p>
            <w:r>
              <w:t>N/A</w:t>
            </w:r>
          </w:p>
        </w:tc>
        <w:tc>
          <w:tcPr>
            <w:tcW w:type="dxa" w:w="1440"/>
          </w:tcPr>
          <w:p>
            <w:r>
              <w:t>Samir</w:t>
            </w:r>
          </w:p>
        </w:tc>
        <w:tc>
          <w:tcPr>
            <w:tcW w:type="dxa" w:w="1440"/>
          </w:tcPr>
          <w:p>
            <w:r>
              <w:t>Separate line per Rosalie/Bennett resolution</w:t>
            </w:r>
          </w:p>
        </w:tc>
      </w:tr>
      <w:tr>
        <w:tc>
          <w:tcPr>
            <w:tcW w:type="dxa" w:w="1440"/>
          </w:tcPr>
          <w:p>
            <w:r>
              <w:t>Sable Ridge — Docket Linkage</w:t>
            </w:r>
          </w:p>
        </w:tc>
        <w:tc>
          <w:tcPr>
            <w:tcW w:type="dxa" w:w="1440"/>
          </w:tcPr>
          <w:p>
            <w:r>
              <w:t>CLOSED</w:t>
            </w:r>
          </w:p>
        </w:tc>
        <w:tc>
          <w:tcPr>
            <w:tcW w:type="dxa" w:w="1440"/>
          </w:tcPr>
          <w:p>
            <w:r>
              <w:t>N/A</w:t>
            </w:r>
          </w:p>
        </w:tc>
        <w:tc>
          <w:tcPr>
            <w:tcW w:type="dxa" w:w="1440"/>
          </w:tcPr>
          <w:p>
            <w:r>
              <w:t>N/A</w:t>
            </w:r>
          </w:p>
        </w:tc>
        <w:tc>
          <w:tcPr>
            <w:tcW w:type="dxa" w:w="1440"/>
          </w:tcPr>
          <w:p>
            <w:r>
              <w:t>Tracker document</w:t>
            </w:r>
          </w:p>
        </w:tc>
        <w:tc>
          <w:tcPr>
            <w:tcW w:type="dxa" w:w="1440"/>
          </w:tcPr>
          <w:p>
            <w:r>
              <w:t>Linked to Driver Meal-Break Collective Action tracker</w:t>
            </w:r>
          </w:p>
        </w:tc>
      </w:tr>
      <w:tr>
        <w:tc>
          <w:tcPr>
            <w:tcW w:type="dxa" w:w="1440"/>
          </w:tcPr>
          <w:p>
            <w:r>
              <w:t>Doc-000030 Slide Note</w:t>
            </w:r>
          </w:p>
        </w:tc>
        <w:tc>
          <w:tcPr>
            <w:tcW w:type="dxa" w:w="1440"/>
          </w:tcPr>
          <w:p>
            <w:r>
              <w:t>RESOLVED</w:t>
            </w:r>
          </w:p>
        </w:tc>
        <w:tc>
          <w:tcPr>
            <w:tcW w:type="dxa" w:w="1440"/>
          </w:tcPr>
          <w:p>
            <w:r>
              <w:t>N/A</w:t>
            </w:r>
          </w:p>
        </w:tc>
        <w:tc>
          <w:tcPr>
            <w:tcW w:type="dxa" w:w="1440"/>
          </w:tcPr>
          <w:p>
            <w:r>
              <w:t>N/A</w:t>
            </w:r>
          </w:p>
        </w:tc>
        <w:tc>
          <w:tcPr>
            <w:tcW w:type="dxa" w:w="1440"/>
          </w:tcPr>
          <w:p>
            <w:r>
              <w:t>Deck owner</w:t>
            </w:r>
          </w:p>
        </w:tc>
        <w:tc>
          <w:tcPr>
            <w:tcW w:type="dxa" w:w="1440"/>
          </w:tcPr>
          <w:p>
            <w:r>
              <w:t>Corrected to separate Ardmore items accurately</w:t>
            </w:r>
          </w:p>
        </w:tc>
      </w:tr>
    </w:tbl>
    <w:p>
      <w:pPr>
        <w:pStyle w:val="Heading2"/>
      </w:pPr>
      <w:r>
        <w:t>Escalation for Tomorrow's Docket Call</w:t>
      </w:r>
    </w:p>
    <w:p>
      <w:r>
        <w:t>Ardmore good standing filing to be raised again: 0 days remaining, owner Samir non-responsive, escalation status owner-unresponsive, per agreement with Bennett. Confirmed by Bennett and Rosalie as the sole open item on today's call; will continue to be tracked daily until Samir responds or the filing is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