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to File</w:t>
      </w:r>
    </w:p>
    <w:p>
      <w:r>
        <w:t>Re: Imelda Frost Supplier Dispute — Decision to Hold Rather Than File Counterclaim</w:t>
      </w:r>
    </w:p>
    <w:p>
      <w:r>
        <w:t>Prepared by: Ingrid Solheim, Senior Associate, Corporate</w:t>
      </w:r>
    </w:p>
    <w:p>
      <w:r>
        <w:t>This memorandum documents the firm's decision, made in connection with the Ardmore Elevator, Inc. acquisition matter, to decline to pursue a counterclaim against Imelda Frost arising out of the supplier dispute, and to close out the matter on the file without further action.</w:t>
      </w:r>
    </w:p>
    <w:p>
      <w:pPr>
        <w:pStyle w:val="Heading2"/>
      </w:pPr>
      <w:r>
        <w:t>Background</w:t>
      </w:r>
    </w:p>
    <w:p>
      <w:r>
        <w:t>The Imelda Frost supplier dispute was raised and evaluated in the ordinary course of diligence on the Ardmore Elevator acquisition. The dispute concerned a supplier relationship involving Ms. Frost that surfaced during review of Ardmore's contract files and was flagged for possible affirmative claims by Ardmore in response. The firm considered whether a counterclaim against Ms. Frost was warranted, either to preserve Ardmore's position ahead of closing or to obtain leverage in resolving the underlying dispute.</w:t>
      </w:r>
    </w:p>
    <w:p>
      <w:pPr>
        <w:pStyle w:val="Heading2"/>
      </w:pPr>
      <w:r>
        <w:t>Decision</w:t>
      </w:r>
    </w:p>
    <w:p>
      <w:r>
        <w:t>After review, the firm has determined to hold on the matter rather than file a counterclaim. No counterclaim will be filed on Ardmore's behalf against Ms. Frost at this time. This decision reflects the firm's assessment that pursuing affirmative claims was not warranted on the facts and record as they stand, and that doing so was not necessary to protect Ardmore's position in connection with the pending acquisition.</w:t>
      </w:r>
    </w:p>
    <w:p>
      <w:pPr>
        <w:pStyle w:val="Heading2"/>
      </w:pPr>
      <w:r>
        <w:t>Basis for Decision</w:t>
      </w:r>
    </w:p>
    <w:p>
      <w:pPr>
        <w:pStyle w:val="ListNumber"/>
      </w:pPr>
      <w:r>
        <w:t>The underlying supplier dispute does not present issues that bear on the closing conditions or representations at issue in the Ardmore Elevator transaction.</w:t>
      </w:r>
    </w:p>
    <w:p>
      <w:pPr>
        <w:pStyle w:val="ListNumber"/>
      </w:pPr>
      <w:r>
        <w:t>No claim deadline or statute-of-limitations concern requires immediate action; the firm's position is preserved and can be revisited if circumstances change.</w:t>
      </w:r>
    </w:p>
    <w:p>
      <w:pPr>
        <w:pStyle w:val="ListNumber"/>
      </w:pPr>
      <w:r>
        <w:t>The cost and disruption of initiating a counterclaim were not justified relative to the value at stake in the dispute.</w:t>
      </w:r>
    </w:p>
    <w:p>
      <w:pPr>
        <w:pStyle w:val="ListNumber"/>
      </w:pPr>
      <w:r>
        <w:t>Filing a counterclaim risked complicating or delaying the closing timeline for the Ardmore Elevator acquisition without a commensurate benefit to the client.</w:t>
      </w:r>
    </w:p>
    <w:p>
      <w:pPr>
        <w:pStyle w:val="Heading2"/>
      </w:pPr>
      <w:r>
        <w:t>Confirmation of Hold</w:t>
      </w:r>
    </w:p>
    <w:p>
      <w:r>
        <w:t>The decision to hold and decline to file a counterclaim, as set out above, has been restated and confirmed by Dov via email and again in chat correspondence today. No new facts or developments have been identified that would warrant revisiting the decision, and the hold position stands as the firm's final determination on this matter absent a material change in circumstances as described below.</w:t>
      </w:r>
    </w:p>
    <w:p>
      <w:pPr>
        <w:pStyle w:val="Heading2"/>
      </w:pPr>
      <w:r>
        <w:t>Disposition</w:t>
      </w:r>
    </w:p>
    <w:p>
      <w:r>
        <w:t>This matter is closed out for the file. No further action is contemplated by the firm with respect to the Imelda Frost supplier dispute absent a material change in circumstances (including, without limitation, Ms. Frost or a related party initiating litigation or asserting a claim against Ardmore). Should such circumstances arise, the matter should be reopened and reassessed rather than treated as governed by this memorandum. The closed-out status reflected in this memorandum has been confirmed as final per Dov's email and today's chat exchanges.</w:t>
      </w:r>
    </w:p>
    <w:p>
      <w:pPr>
        <w:pStyle w:val="Heading2"/>
      </w:pPr>
      <w:r>
        <w:t>Distribution</w:t>
      </w:r>
    </w:p>
    <w:p>
      <w:r>
        <w:t>This memorandum is filed in the Ardmore Elevator, Inc. engagement file and is not part of the closing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