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Deposition Summary — Marcus Pryor</w:t>
      </w:r>
    </w:p>
    <w:p>
      <w:r>
        <w:t>Draft for Internal Review. Prepared by B. Ashworth. Not for production; work product, subject to further revision. Circulate to team for comment before finalizing.</w:t>
      </w:r>
    </w:p>
    <w:p>
      <w:pPr>
        <w:pStyle w:val="Heading2"/>
      </w:pPr>
      <w:r>
        <w:t>Witness and Setting</w:t>
      </w:r>
    </w:p>
    <w:p>
      <w:r>
        <w:t>Marcus Pryor, former operations manager at Ardmore during the period relevant to the enforcement inquiry. Deposition taken in connection with the professional liability matter. Examining and defending counsel identified by surname per standard convention; see record, appearance page, for full identification and stipulations.</w:t>
      </w:r>
    </w:p>
    <w:p>
      <w:pPr>
        <w:pStyle w:val="Heading2"/>
      </w:pPr>
      <w:r>
        <w:t>Summary of Substantive Testimony</w:t>
      </w:r>
    </w:p>
    <w:p>
      <w:pPr>
        <w:pStyle w:val="ListNumber"/>
      </w:pPr>
      <w:r>
        <w:t>Direct examination, see record: Pryor confirmed his role and reporting line during the relevant period — he reported directly to the Ardmore engagement lead — and testified he had visibility into the chain-of-access records at issue. This establishes foundation for his knowledge of the access-log process; treat as a threshold admission, not a substantive finding on log completeness.</w:t>
      </w:r>
    </w:p>
    <w:p>
      <w:pPr>
        <w:pStyle w:val="ListNumber"/>
      </w:pPr>
      <w:r>
        <w:t>Direct examination, see record: Pryor could not confirm whether the access logs Gideon flagged were complete. He testified only that 'someone on Samir's team' would have maintained them. Note: the underlying chain-of-access issue is now closed on our side, with Samir confirmed as owner — this testimony does not reopen that item but should be cross-checked against what Samir's team actually produced, to make sure Pryor's account is consistent with the closed record.</w:t>
      </w:r>
    </w:p>
    <w:p>
      <w:pPr>
        <w:pStyle w:val="ListNumber"/>
      </w:pPr>
      <w:r>
        <w:t>Cross-examination, see record: Pryor conceded, on direct question, that he had no independent recollection of the specific dates at issue and was relying entirely on documents shown to him for the first time at the deposition. This is a clean concession — flag as usable admission on lack of personal knowledge.</w:t>
      </w:r>
    </w:p>
    <w:p>
      <w:pPr>
        <w:pStyle w:val="ListNumber"/>
      </w:pPr>
      <w:r>
        <w:t>Cross-examination, see record: Pryor's testimony on the second-request calendar dates was vague and non-committal; he deferred to Adaora's team as the source of record. This is consistent with the calendar as issued and does not conflict with our production tracker; no discrepancy to run down.</w:t>
      </w:r>
    </w:p>
    <w:p>
      <w:pPr>
        <w:pStyle w:val="ListNumber"/>
      </w:pPr>
      <w:r>
        <w:t>No testimony bears on the current reserve figure or exposure range. Nothing in Pryor's testimony alters the damages or settlement posture already confirmed and reconciled against the board exposure quantitative support schedule.</w:t>
      </w:r>
    </w:p>
    <w:p>
      <w:pPr>
        <w:pStyle w:val="Heading2"/>
      </w:pPr>
      <w:r>
        <w:t>Impeachment and Credibility Notes</w:t>
      </w:r>
    </w:p>
    <w:p>
      <w:pPr>
        <w:pStyle w:val="ListBullet"/>
      </w:pPr>
      <w:r>
        <w:t>Material inconsistency: Pryor's testimony on access-log completeness (see record, direct examination) does not match his prior written statement produced in document review. This is impeachment material — flag for use before any further examination or in any motion practice touching the access-log issue. Do not raise informally; put it in the record.</w:t>
      </w:r>
    </w:p>
    <w:p>
      <w:pPr>
        <w:pStyle w:val="ListBullet"/>
      </w:pPr>
      <w:r>
        <w:t>Credibility on dates: witness was cooperative in demeanor but consistently imprecise on specific dates. Any further examination of Pryor should anchor to documents shown to him, not to his independent recollection, which he has already disclaimed on cross.</w:t>
      </w:r>
    </w:p>
    <w:p>
      <w:pPr>
        <w:pStyle w:val="ListBullet"/>
      </w:pPr>
      <w:r>
        <w:t>Overall assessment: Pryor is not a strong witness for either side on the log-completeness question. His admission of reliance on same-day documents cuts against weight on cross, but the inconsistency with his prior statement is the more durable point for later use.</w:t>
      </w:r>
    </w:p>
    <w:p>
      <w:pPr>
        <w:pStyle w:val="Heading2"/>
      </w:pPr>
      <w:r>
        <w:t>Open Follow-Up Items</w:t>
      </w:r>
    </w:p>
    <w:p>
      <w:pPr>
        <w:pStyle w:val="ListNumber"/>
      </w:pPr>
      <w:r>
        <w:t>No further chase needed with Samir's team on the access logs generally — that item is closed with Samir as owner. Limited follow-up only: confirm Pryor's account of who maintained the logs is consistent with what was actually produced, so the closed record is not undercut by deposition testimony.</w:t>
      </w:r>
    </w:p>
    <w:p>
      <w:pPr>
        <w:pStyle w:val="ListNumber"/>
      </w:pPr>
      <w:r>
        <w:t>Cross-check Pryor's testimony against the sweep-list process question raised separately; a call-format or process gap may explain his inability to confirm log completeness and should be resolved before this summary is finalized.</w:t>
      </w:r>
    </w:p>
    <w:p>
      <w:pPr>
        <w:pStyle w:val="ListNumber"/>
      </w:pPr>
      <w:r>
        <w:t>Pull the specific transcript page-and-line citations for each item above before this summary leaves draft status; 'see record' placeholders must be replaced with pin cites in the next pass.</w:t>
      </w:r>
    </w:p>
    <w:p>
      <w:pPr>
        <w:pStyle w:val="ListNumber"/>
      </w:pPr>
      <w:r>
        <w:t>No action required on reserve or exposure figures; this summary does not alter the position already confirmed and reconciled against the board exposure package for Thursday's meeting.</w:t>
      </w:r>
    </w:p>
    <w:p>
      <w:r>
        <w:t>Internal note: this is a working redline. Pin cites to the transcript still need to be inserted throughout. Distribute to team for comment before finalizing; hold for sign-off before this goes into the litigation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