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Board of Directors, Ardmore Engagement Oversight</w:t>
      </w:r>
    </w:p>
    <w:p>
      <w:r>
        <w:t>From: Bennett Ashworth, Partner, Commercial Litigation</w:t>
      </w:r>
    </w:p>
    <w:p>
      <w:r>
        <w:t>Re: Enforcement Inquiry — Exposure Update Ahead of Thursday Board Meeting</w:t>
      </w:r>
    </w:p>
    <w:p>
      <w:r>
        <w:t>Status: DRAFT — for review prior to Wednesday EOD filing deadline</w:t>
      </w:r>
    </w:p>
    <w:p>
      <w:pPr>
        <w:pStyle w:val="Heading2"/>
      </w:pPr>
      <w:r>
        <w:t>I. Purpose and Scope</w:t>
      </w:r>
    </w:p>
    <w:p>
      <w:r>
        <w:t>This memorandum updates the Board on the status of the enforcement inquiry and reconciles the current exposure figures against the board exposure package circulated for Thursday's meeting. See record of prior board materials, doc-000314 (as revised), for the underlying deck this memo accompanies. The reserve figures below have been finalized and reconciled against the board exposure quantitative support schedule, doc-000346, and incorporate confirmed WIP and realization inputs from Samir for the current cycle close. No changes have been made to bottom-line exposure or reserve figures beyond this reconciliation.</w:t>
      </w:r>
    </w:p>
    <w:p>
      <w:pPr>
        <w:pStyle w:val="Heading2"/>
      </w:pPr>
      <w:r>
        <w:t>II. Administrative Item Now Closed: Deshmukh/Ardmore Chain-of-Access</w:t>
      </w:r>
    </w:p>
    <w:p>
      <w:r>
        <w:t>The Deshmukh/Ardmore chain-of-access routing question is finally and formally resolved. Ownership rests with Samir, and closing confirmation was made on the docket call. This is closed administrative business, not an open flag. The 'five unanswered requests to Gideon' framing carried in earlier materials no longer reflects current status and has been removed from the board deck accordingly. Thandiwe has logged this item as closed against Ardmore. This resolution is separate from, and should not be read to close out, the sweep-list process question addressed below.</w:t>
      </w:r>
    </w:p>
    <w:p>
      <w:pPr>
        <w:pStyle w:val="Heading2"/>
      </w:pPr>
      <w:r>
        <w:t>III. Open Item: Sweep-List Call Format</w:t>
      </w:r>
    </w:p>
    <w:p>
      <w:r>
        <w:t>The chain-of-access resolution does not resolve a distinct process concern: the current call format does not reliably surface ownership gaps as action items. This question remains open and is to be raised by Lucien at 14:00, tracked independently of the Ardmore chain-of-access closure. Noor's related consolidation point is to be handled separately, after the ownership-gap flag is addressed. Neither item affects the exposure figures reported to the Board.</w:t>
      </w:r>
    </w:p>
    <w:p>
      <w:pPr>
        <w:pStyle w:val="Heading2"/>
      </w:pPr>
      <w:r>
        <w:t>IV. Standing Sweep List — Carryover Exceptions</w:t>
      </w:r>
    </w:p>
    <w:p>
      <w:r>
        <w:t>The following carryover exceptions remain on the standing sweep list for continued tracking by Rosalie and Hyunwoo, consistent with the handling previously applied to Coastal Meridian and Ravenna:</w:t>
      </w:r>
    </w:p>
    <w:p>
      <w:pPr>
        <w:pStyle w:val="ListBullet"/>
      </w:pPr>
      <w:r>
        <w:t>Halden — $0.00 exposure, confirmed and reflected in the current board exposure package</w:t>
      </w:r>
    </w:p>
    <w:p>
      <w:pPr>
        <w:pStyle w:val="ListBullet"/>
      </w:pPr>
      <w:r>
        <w:t>Northmoor — $0.00 exposure, confirmed and reflected in the current board exposure package</w:t>
      </w:r>
    </w:p>
    <w:p>
      <w:pPr>
        <w:pStyle w:val="ListBullet"/>
      </w:pPr>
      <w:r>
        <w:t>Verity Grain — $0.00 exposure, confirmed and reflected in the current board exposure package</w:t>
      </w:r>
    </w:p>
    <w:p>
      <w:r>
        <w:t>Sable Ridge is closed. No further action is required on the closures and carryovers reviewed this cycle.</w:t>
      </w:r>
    </w:p>
    <w:p>
      <w:pPr>
        <w:pStyle w:val="Heading2"/>
      </w:pPr>
      <w:r>
        <w:t>V. Fee Overage — Drivers and Timing</w:t>
      </w:r>
    </w:p>
    <w:p>
      <w:r>
        <w:t>I am personally handling the overage breakdown. Two drivers account for the overage: (1) the expansion of the enforcement inquiry itself, and (2) second-request discovery volume. Of these, the second-request volume was foreseeable given the certified service date and known scope; the scope expansion of the enforcement inquiry was not foreseeable at the time the original budget was set. I am not providing revised figures or a restated run-rate in this memo. That analysis is pending itemized billing detail requested from Desmond, which I will turn around before end of week.</w:t>
      </w:r>
    </w:p>
    <w:p>
      <w:pPr>
        <w:pStyle w:val="Heading2"/>
      </w:pPr>
      <w:r>
        <w:t>VI. Professional Liability Matter — No Change</w:t>
      </w:r>
    </w:p>
    <w:p>
      <w:r>
        <w:t>Nothing has changed on the professional liability matter: no new pleadings, no expert developments, no settlement discussions, and no shift in coverage position. The reserve figure has been finalized and reconciles with the board exposure quantitative support schedule, doc-000346, and with the board exposure package for Thursday's meeting. Compliance with the panel pre-approval requirement for any out-of-scope work is reaffirmed.</w:t>
      </w:r>
    </w:p>
    <w:p>
      <w:pPr>
        <w:pStyle w:val="Heading2"/>
      </w:pPr>
      <w:r>
        <w:t>VII. Sandhurst — Time and Billing</w:t>
      </w:r>
    </w:p>
    <w:p>
      <w:r>
        <w:t>Sandhurst time status closes clean for the cycle with no billing exceptions. The time-status question is resolved with no outstanding items, and the WIP and Realization Report for the billing cycle close is treated as final on that basis, consistent with confirmed inputs from Samir. Matter-status items — good standing, estoppel, and MIP mechanics — properly remain with Quentin and Dov outside the billing workstream. Samir has been asked to flag any Whitfield counsel response directly and same-day.</w:t>
      </w:r>
    </w:p>
    <w:p>
      <w:pPr>
        <w:pStyle w:val="Heading2"/>
      </w:pPr>
      <w:r>
        <w:t>VIII. Board Deck Reconciliation</w:t>
      </w:r>
    </w:p>
    <w:p>
      <w:r>
        <w:t>The accompanying board deck (doc-000314, as most recently revised) has been updated to: (1) remove the superseded 'five unanswered requests to Gideon' framing; (2) reflect the Deshmukh/Ardmore item as closed administrative business, separate from the main Ardmore exception cycle; (3) confirm second-request calendar dates as issued per Adaora; (4) reflect completion of Thursday pre-call groundwork; (5) update Open Items to remove completed action items and add follow-through status; and (6) reflect finalized reserve figures reconciled against the board exposure quantitative support schedule, doc-000346, incorporating confirmed WIP/realization inputs from Samir. No changes have been made to bottom-line exposure or reserve figures beyond this reconciliation.</w:t>
      </w:r>
    </w:p>
    <w:p>
      <w:pPr>
        <w:pStyle w:val="Heading2"/>
      </w:pPr>
      <w:r>
        <w:t>IX. Closing Note</w:t>
      </w:r>
    </w:p>
    <w:p>
      <w:r>
        <w:t>This memo and the accompanying deck are current as of this drafting for Wednesday EOD filing ahead of Thursday's board meeting, with reserve figures finalized and reconciled against doc-000346. See record for full underlying detail in the Ardmore matter file. Further updates on the fee overage figures will follow by end of week upon receipt of Desmond's itemized billing detail.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