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Atwater Foods — Trademark Opposition Triage: Prioritization &amp; Position Notes</w:t>
      </w:r>
    </w:p>
    <w:p>
      <w:r>
        <w:t>Prepared by Klara Bendtsen. Circulated to lock in triage ordering with Yuki. This note has been flagged twice as overdue; it now supersedes prior verbal and chat-level ordering discussions and is the operative sequencing document until further revision.</w:t>
      </w:r>
    </w:p>
    <w:p>
      <w:pPr>
        <w:pStyle w:val="Heading2"/>
      </w:pPr>
      <w:r>
        <w:t>Purpose</w:t>
      </w:r>
    </w:p>
    <w:p>
      <w:r>
        <w:t>To fix the order in which the pending trademark oppositions are worked, state the position on each, and identify what remains open before filing deadlines are at risk. This is a working document — status is current as of today and should be updated as confirmations come in from Yuki.</w:t>
      </w:r>
    </w:p>
    <w:p>
      <w:pPr>
        <w:pStyle w:val="Heading2"/>
      </w:pPr>
      <w:r>
        <w:t>Prioritization Order (proposed to Yuki for lock-in today)</w:t>
      </w:r>
    </w:p>
    <w:p>
      <w:pPr>
        <w:pStyle w:val="ListNumber"/>
      </w:pPr>
      <w:r>
        <w:t>Opposition matters with a filing or response deadline inside 14 days — move first regardless of substantive complexity.</w:t>
      </w:r>
    </w:p>
    <w:p>
      <w:pPr>
        <w:pStyle w:val="ListNumber"/>
      </w:pPr>
      <w:r>
        <w:t>Matters where our client is the opposer and the opposed mark shows clear likelihood-of-confusion overlap with an Atwater house mark — strong position, low drafting time, high strategic value to move early.</w:t>
      </w:r>
    </w:p>
    <w:p>
      <w:pPr>
        <w:pStyle w:val="ListNumber"/>
      </w:pPr>
      <w:r>
        <w:t>Matters where Atwater is the defending party and the opposing mark is arguably senior — these need the most drafting attention and should be sequenced next, not last, so there is runway if the position needs to shift.</w:t>
      </w:r>
    </w:p>
    <w:p>
      <w:pPr>
        <w:pStyle w:val="ListNumber"/>
      </w:pPr>
      <w:r>
        <w:t>Matters resting on descriptiveness or genericness arguments — evidence-heavy, lower urgency absent a looming deadline, sequenced after the above.</w:t>
      </w:r>
    </w:p>
    <w:p>
      <w:pPr>
        <w:pStyle w:val="ListNumber"/>
      </w:pPr>
      <w:r>
        <w:t>Housekeeping oppositions (non-use, technical defects) — lowest priority, can be batched.</w:t>
      </w:r>
    </w:p>
    <w:p>
      <w:r>
        <w:t>careful here — the sequencing above assumes no deadline inside the next 14 days on tier 3 matters. If Yuki's docket shows otherwise, tier 3 items move to tier 1 and the rest of the order shifts down.</w:t>
      </w:r>
    </w:p>
    <w:p>
      <w:pPr>
        <w:pStyle w:val="Heading2"/>
      </w:pPr>
      <w:r>
        <w:t>Position Notes by Matter Category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Position</w:t>
            </w:r>
          </w:p>
        </w:tc>
        <w:tc>
          <w:tcPr>
            <w:tcW w:type="dxa" w:w="2160"/>
          </w:tcPr>
          <w:p>
            <w:r>
              <w:t>Basis</w:t>
            </w:r>
          </w:p>
        </w:tc>
        <w:tc>
          <w:tcPr>
            <w:tcW w:type="dxa" w:w="2160"/>
          </w:tcPr>
          <w:p>
            <w:r>
              <w:t>Status / Open Items</w:t>
            </w:r>
          </w:p>
        </w:tc>
      </w:tr>
      <w:tr>
        <w:tc>
          <w:tcPr>
            <w:tcW w:type="dxa" w:w="2160"/>
          </w:tcPr>
          <w:p>
            <w:r>
              <w:t>Opposer, clear overlap</w:t>
            </w:r>
          </w:p>
        </w:tc>
        <w:tc>
          <w:tcPr>
            <w:tcW w:type="dxa" w:w="2160"/>
          </w:tcPr>
          <w:p>
            <w:r>
              <w:t>Proceed to press; no fallback needed</w:t>
            </w:r>
          </w:p>
        </w:tc>
        <w:tc>
          <w:tcPr>
            <w:tcW w:type="dxa" w:w="2160"/>
          </w:tcPr>
          <w:p>
            <w:r>
              <w:t>Direct visual/phonetic overlap with registered Atwater mark, overlapping goods classes</w:t>
            </w:r>
          </w:p>
        </w:tc>
        <w:tc>
          <w:tcPr>
            <w:tcW w:type="dxa" w:w="2160"/>
          </w:tcPr>
          <w:p>
            <w:r>
              <w:t>Ready to file once triage order confirmed</w:t>
            </w:r>
          </w:p>
        </w:tc>
      </w:tr>
      <w:tr>
        <w:tc>
          <w:tcPr>
            <w:tcW w:type="dxa" w:w="2160"/>
          </w:tcPr>
          <w:p>
            <w:r>
              <w:t>Defending, senior mark arguable</w:t>
            </w:r>
          </w:p>
        </w:tc>
        <w:tc>
          <w:tcPr>
            <w:tcW w:type="dxa" w:w="2160"/>
          </w:tcPr>
          <w:p>
            <w:r>
              <w:t>Contest priority; develop concurrent-use and geographic-limitation arguments as fallback</w:t>
            </w:r>
          </w:p>
        </w:tc>
        <w:tc>
          <w:tcPr>
            <w:tcW w:type="dxa" w:w="2160"/>
          </w:tcPr>
          <w:p>
            <w:r>
              <w:t>Atwater's use predates or is contemporaneous with opposer's claimed first use in at least two matters</w:t>
            </w:r>
          </w:p>
        </w:tc>
        <w:tc>
          <w:tcPr>
            <w:tcW w:type="dxa" w:w="2160"/>
          </w:tcPr>
          <w:p>
            <w:r>
              <w:t>Needs use-in-commerce evidence pulled from Atwater's records before drafting proceeds</w:t>
            </w:r>
          </w:p>
        </w:tc>
      </w:tr>
      <w:tr>
        <w:tc>
          <w:tcPr>
            <w:tcW w:type="dxa" w:w="2160"/>
          </w:tcPr>
          <w:p>
            <w:r>
              <w:t>Descriptiveness/genericness</w:t>
            </w:r>
          </w:p>
        </w:tc>
        <w:tc>
          <w:tcPr>
            <w:tcW w:type="dxa" w:w="2160"/>
          </w:tcPr>
          <w:p>
            <w:r>
              <w:t>Argue acquired distinctiveness where use is long-standing; otherwise narrow to disclaim descriptive component</w:t>
            </w:r>
          </w:p>
        </w:tc>
        <w:tc>
          <w:tcPr>
            <w:tcW w:type="dxa" w:w="2160"/>
          </w:tcPr>
          <w:p>
            <w:r>
              <w:t>Consistent with existing prosecution history on related Atwater marks</w:t>
            </w:r>
          </w:p>
        </w:tc>
        <w:tc>
          <w:tcPr>
            <w:tcW w:type="dxa" w:w="2160"/>
          </w:tcPr>
          <w:p>
            <w:r>
              <w:t>Evidence still thin on length/exclusivity of use for two marks — sign-off withheld pending that confirmation</w:t>
            </w:r>
          </w:p>
        </w:tc>
      </w:tr>
      <w:tr>
        <w:tc>
          <w:tcPr>
            <w:tcW w:type="dxa" w:w="2160"/>
          </w:tcPr>
          <w:p>
            <w:r>
              <w:t>Housekeeping (non-use, technical)</w:t>
            </w:r>
          </w:p>
        </w:tc>
        <w:tc>
          <w:tcPr>
            <w:tcW w:type="dxa" w:w="2160"/>
          </w:tcPr>
          <w:p>
            <w:r>
              <w:t>Standard responsive filings, no negotiation posture needed</w:t>
            </w:r>
          </w:p>
        </w:tc>
        <w:tc>
          <w:tcPr>
            <w:tcW w:type="dxa" w:w="2160"/>
          </w:tcPr>
          <w:p>
            <w:r>
              <w:t>Procedural only</w:t>
            </w:r>
          </w:p>
        </w:tc>
        <w:tc>
          <w:tcPr>
            <w:tcW w:type="dxa" w:w="2160"/>
          </w:tcPr>
          <w:p>
            <w:r>
              <w:t>Batch and file on standard timeline</w:t>
            </w:r>
          </w:p>
        </w:tc>
      </w:tr>
    </w:tbl>
    <w:p>
      <w:pPr>
        <w:pStyle w:val="Heading2"/>
      </w:pPr>
      <w:r>
        <w:t>Outstanding Items Before Order Is Final</w:t>
      </w:r>
    </w:p>
    <w:p>
      <w:pPr>
        <w:pStyle w:val="ListBullet"/>
      </w:pPr>
      <w:r>
        <w:t>Yuki's confirmation on proposed triage order — followed up today pushing for same-day lock-in.</w:t>
      </w:r>
    </w:p>
    <w:p>
      <w:pPr>
        <w:pStyle w:val="ListBullet"/>
      </w:pPr>
      <w:r>
        <w:t>Confirmation of any deadline inside 14 days not currently reflected in this note's tier assignments.</w:t>
      </w:r>
    </w:p>
    <w:p>
      <w:pPr>
        <w:pStyle w:val="ListBullet"/>
      </w:pPr>
      <w:r>
        <w:t>Use-in-commerce evidence from Atwater for the two 'defending, senior mark arguable' matters.</w:t>
      </w:r>
    </w:p>
    <w:p>
      <w:pPr>
        <w:pStyle w:val="ListBullet"/>
      </w:pPr>
      <w:r>
        <w:t>Length/exclusivity-of-use evidence for the two thin descriptiveness matters before those move off withheld sign-off.</w:t>
      </w:r>
    </w:p>
    <w:p>
      <w:r>
        <w:t>Once Yuki confirms, this document will be updated to reflect locked order and recirculated with matter-specific deadlines attached. No substantive position stated above should be treated as final client advice until that confirmation lands.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