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Atwater Foods, Inc. — General Counsel</w:t>
      </w:r>
    </w:p>
    <w:p>
      <w:r>
        <w:t>From: Klara Bendtsen, Senior Associate, IP &amp; Technology</w:t>
      </w:r>
    </w:p>
    <w:p>
      <w:r>
        <w:t>Re: Opposition No. 91291045 (ATWATER'S HARVEST GOLD, App. Ser. No. 98/113,207) and related opposition against Bramwell Provisions Co. — status and recommended next steps</w:t>
      </w:r>
    </w:p>
    <w:p>
      <w:pPr>
        <w:pStyle w:val="Heading2"/>
      </w:pPr>
      <w:r>
        <w:t>1. Summary</w:t>
      </w:r>
    </w:p>
    <w:p>
      <w:r>
        <w:t>This memorandum summarizes the current posture of the pending oppositions filed on Atwater Foods' behalf before the Trademark Trial and Appeal Board against Bramwell Provisions Co.'s applications, flags the near-term deadlines, and recommends the steps we should take over the next filing window to keep both proceedings on track.</w:t>
      </w:r>
    </w:p>
    <w:p>
      <w:pPr>
        <w:pStyle w:val="Heading2"/>
      </w:pPr>
      <w:r>
        <w:t>2. Proceedings at a Glance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Proceeding No.</w:t>
            </w:r>
          </w:p>
        </w:tc>
        <w:tc>
          <w:tcPr>
            <w:tcW w:type="dxa" w:w="1728"/>
          </w:tcPr>
          <w:p>
            <w:r>
              <w:t>Applicant Mark</w:t>
            </w:r>
          </w:p>
        </w:tc>
        <w:tc>
          <w:tcPr>
            <w:tcW w:type="dxa" w:w="1728"/>
          </w:tcPr>
          <w:p>
            <w:r>
              <w:t>App. Serial No.</w:t>
            </w:r>
          </w:p>
        </w:tc>
        <w:tc>
          <w:tcPr>
            <w:tcW w:type="dxa" w:w="1728"/>
          </w:tcPr>
          <w:p>
            <w:r>
              <w:t>Stage</w:t>
            </w:r>
          </w:p>
        </w:tc>
        <w:tc>
          <w:tcPr>
            <w:tcW w:type="dxa" w:w="1728"/>
          </w:tcPr>
          <w:p>
            <w:r>
              <w:t>Next Deadline</w:t>
            </w:r>
          </w:p>
        </w:tc>
      </w:tr>
      <w:tr>
        <w:tc>
          <w:tcPr>
            <w:tcW w:type="dxa" w:w="1728"/>
          </w:tcPr>
          <w:p>
            <w:r>
              <w:t>91291045</w:t>
            </w:r>
          </w:p>
        </w:tc>
        <w:tc>
          <w:tcPr>
            <w:tcW w:type="dxa" w:w="1728"/>
          </w:tcPr>
          <w:p>
            <w:r>
              <w:t>HARVEST GOLD FARMS</w:t>
            </w:r>
          </w:p>
        </w:tc>
        <w:tc>
          <w:tcPr>
            <w:tcW w:type="dxa" w:w="1728"/>
          </w:tcPr>
          <w:p>
            <w:r>
              <w:t>98/113,207</w:t>
            </w:r>
          </w:p>
        </w:tc>
        <w:tc>
          <w:tcPr>
            <w:tcW w:type="dxa" w:w="1728"/>
          </w:tcPr>
          <w:p>
            <w:r>
              <w:t>Discovery period open</w:t>
            </w:r>
          </w:p>
        </w:tc>
        <w:tc>
          <w:tcPr>
            <w:tcW w:type="dxa" w:w="1728"/>
          </w:tcPr>
          <w:p>
            <w:r>
              <w:t>Discovery closes in 34 days</w:t>
            </w:r>
          </w:p>
        </w:tc>
      </w:tr>
      <w:tr>
        <w:tc>
          <w:tcPr>
            <w:tcW w:type="dxa" w:w="1728"/>
          </w:tcPr>
          <w:p>
            <w:r>
              <w:t>91291398</w:t>
            </w:r>
          </w:p>
        </w:tc>
        <w:tc>
          <w:tcPr>
            <w:tcW w:type="dxa" w:w="1728"/>
          </w:tcPr>
          <w:p>
            <w:r>
              <w:t>HARVEST GOLD MILL &amp; CO.</w:t>
            </w:r>
          </w:p>
        </w:tc>
        <w:tc>
          <w:tcPr>
            <w:tcW w:type="dxa" w:w="1728"/>
          </w:tcPr>
          <w:p>
            <w:r>
              <w:t>98/119,884</w:t>
            </w:r>
          </w:p>
        </w:tc>
        <w:tc>
          <w:tcPr>
            <w:tcW w:type="dxa" w:w="1728"/>
          </w:tcPr>
          <w:p>
            <w:r>
              <w:t>Answer filed; initial disclosures due</w:t>
            </w:r>
          </w:p>
        </w:tc>
        <w:tc>
          <w:tcPr>
            <w:tcW w:type="dxa" w:w="1728"/>
          </w:tcPr>
          <w:p>
            <w:r>
              <w:t>Initial disclosures due in 12 days</w:t>
            </w:r>
          </w:p>
        </w:tc>
      </w:tr>
    </w:tbl>
    <w:p>
      <w:pPr>
        <w:pStyle w:val="Heading2"/>
      </w:pPr>
      <w:r>
        <w:t>3. Background</w:t>
      </w:r>
    </w:p>
    <w:p>
      <w:r>
        <w:t>Atwater Foods holds Registration No. 5,204,771 for HARVEST GOLD in International Class 29 (processed food products, including grain-based snack items) and has used the mark continuously since 2011. Bramwell Provisions Co. filed two applications in the same class using marks that incorporate the dominant term HARVEST GOLD. We filed notices of opposition against both, asserting likelihood of confusion under Section 2(d) and dilution under Section 43(c). Bramwell has answered in the first proceeding (No. 91291045) denying the core allegations and asserting laches as an affirmative defense; the answer in the second proceeding (No. 91291398) is not yet due.</w:t>
      </w:r>
    </w:p>
    <w:p>
      <w:pPr>
        <w:pStyle w:val="Heading2"/>
      </w:pPr>
      <w:r>
        <w:t>4. Status of Proceeding No. 91291045</w:t>
      </w:r>
    </w:p>
    <w:p>
      <w:r>
        <w:t>The discovery period is open and closes in 34 days. Bramwell served initial disclosures identifying three individuals as likely to have discoverable information: its VP of Marketing, its co-founder, and an outside brand consultant retained in connection with the mark selection process. We have not yet served written discovery.</w:t>
      </w:r>
    </w:p>
    <w:p>
      <w:pPr>
        <w:pStyle w:val="ListBullet"/>
      </w:pPr>
      <w:r>
        <w:t>Bramwell's laches defense will require us to establish the date Atwater first had actual or constructive notice of Bramwell's use, and to show the delay (if any) was reasonable and non-prejudicial.</w:t>
      </w:r>
    </w:p>
    <w:p>
      <w:pPr>
        <w:pStyle w:val="ListBullet"/>
      </w:pPr>
      <w:r>
        <w:t>We should serve requests for production directed at Bramwell's adoption process, clearance search (if any), and sales/marketing data by channel and geography.</w:t>
      </w:r>
    </w:p>
    <w:p>
      <w:pPr>
        <w:pStyle w:val="ListBullet"/>
      </w:pPr>
      <w:r>
        <w:t>Interrogatories should probe first use dates, channels of trade, and actual instances of confusion or consumer inquiries.</w:t>
      </w:r>
    </w:p>
    <w:p>
      <w:pPr>
        <w:pStyle w:val="Heading2"/>
      </w:pPr>
      <w:r>
        <w:t>5. Status of Proceeding No. 91291398</w:t>
      </w:r>
    </w:p>
    <w:p>
      <w:r>
        <w:t>This proceeding is at an earlier stage. Bramwell's answer is not yet due. We should confirm whether to move to consolidate this proceeding with No. 91291045 given the overlapping factual record (same registrant, same core mark, same industry), which would streamline discovery and avoid inconsistent scheduling.</w:t>
      </w:r>
    </w:p>
    <w:p>
      <w:pPr>
        <w:pStyle w:val="Heading2"/>
      </w:pPr>
      <w:r>
        <w:t>6. Prioritization and Triage</w:t>
      </w:r>
    </w:p>
    <w:p>
      <w:r>
        <w:t>As set out in the prioritization memo sent to Yuki, No. 91291398 is the more time-sensitive of the two matters at this moment: initial disclosures are due in 12 days, well ahead of the 34-day discovery close in No. 91291045. On the current face of the record, No. 91291045 presents the stronger position for Atwater — we have a longer, better-documented use history to marshal against the laches defense, and discovery is already underway. No. 91291398 is harder to assess on its face at this early stage because Bramwell has not yet answered, but the overlapping factual record with No. 91291045 means much of the groundwork will carry over.</w:t>
      </w:r>
    </w:p>
    <w:p>
      <w:r>
        <w:t>Recommendation: triage No. 91291398 this week — get initial disclosures prepared and confirm our position on consolidation before the 12-day deadline — while allowing the discovery track in No. 91291045 to proceed on its existing timeline. This sequencing avoids missing the nearer deadline without diverting attention from the discovery work already in motion in the more developed proceeding. Happy to walk through this by call if that's easier than email; flag any questions before we proceed on either front.</w:t>
      </w:r>
    </w:p>
    <w:p>
      <w:pPr>
        <w:pStyle w:val="Heading2"/>
      </w:pPr>
      <w:r>
        <w:t>7. Recommended Next Steps (Next 30 Days)</w:t>
      </w:r>
    </w:p>
    <w:p>
      <w:pPr>
        <w:pStyle w:val="ListNumber"/>
      </w:pPr>
      <w:r>
        <w:t>Serve Atwater's first set of interrogatories and requests for production in No. 91291045 within the next 5 business days to preserve adequate response time before the discovery close.</w:t>
      </w:r>
    </w:p>
    <w:p>
      <w:pPr>
        <w:pStyle w:val="ListNumber"/>
      </w:pPr>
      <w:r>
        <w:t>File a motion to consolidate the two proceedings, or at minimum a stipulated motion to suspend No. 91291398 pending resolution of discovery in No. 91291045.</w:t>
      </w:r>
    </w:p>
    <w:p>
      <w:pPr>
        <w:pStyle w:val="ListNumber"/>
      </w:pPr>
      <w:r>
        <w:t>Prepare Atwater's own initial disclosures identifying the marketing director and the two customers who raised confusion inquiries at the 2023 trade show.</w:t>
      </w:r>
    </w:p>
    <w:p>
      <w:pPr>
        <w:pStyle w:val="ListNumber"/>
      </w:pPr>
      <w:r>
        <w:t>Request an extension of the discovery deadline in No. 91291045 by 30 days if Bramwell does not agree to an expedited response schedule, given the laches defense requires additional documentary history.</w:t>
      </w:r>
    </w:p>
    <w:p>
      <w:pPr>
        <w:pStyle w:val="ListNumber"/>
      </w:pPr>
      <w:r>
        <w:t>Begin assembling the actual-use evidence file (packaging history, advertising spend by year, and the 2011 first-use invoice) to rebut the laches defense early.</w:t>
      </w:r>
    </w:p>
    <w:p>
      <w:pPr>
        <w:pStyle w:val="Heading2"/>
      </w:pPr>
      <w:r>
        <w:t>8. Risk Notes</w:t>
      </w:r>
    </w:p>
    <w:p>
      <w:r>
        <w:t>Careful here — the laches defense is not frivolous. Our internal files show Atwater's marketing team was aware of Bramwell's provisional use as early as eighteen months before we filed. If that awareness is documented in emails subject to discovery, we should get ahead of it now rather than have it surface in Bramwell's document requests. I recommend a privileged internal review of the marketing team's files before we serve our own discovery, so we know what we are dealing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