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Yuki Tanabe</w:t>
            </w:r>
          </w:p>
        </w:tc>
      </w:tr>
      <w:tr>
        <w:tc>
          <w:tcPr>
            <w:tcW w:type="dxa" w:w="4320"/>
          </w:tcPr>
          <w:p>
            <w:r>
              <w:t>From</w:t>
            </w:r>
          </w:p>
        </w:tc>
        <w:tc>
          <w:tcPr>
            <w:tcW w:type="dxa" w:w="4320"/>
          </w:tcPr>
          <w:p>
            <w:r>
              <w:t>Klara Bendtsen</w:t>
            </w:r>
          </w:p>
        </w:tc>
      </w:tr>
      <w:tr>
        <w:tc>
          <w:tcPr>
            <w:tcW w:type="dxa" w:w="4320"/>
          </w:tcPr>
          <w:p>
            <w:r>
              <w:t>Re</w:t>
            </w:r>
          </w:p>
        </w:tc>
        <w:tc>
          <w:tcPr>
            <w:tcW w:type="dxa" w:w="4320"/>
          </w:tcPr>
          <w:p>
            <w:r>
              <w:t>Atwater Foods — Trademark Opposition Prioritization</w:t>
            </w:r>
          </w:p>
        </w:tc>
      </w:tr>
      <w:tr>
        <w:tc>
          <w:tcPr>
            <w:tcW w:type="dxa" w:w="4320"/>
          </w:tcPr>
          <w:p>
            <w:r>
              <w:t>Status</w:t>
            </w:r>
          </w:p>
        </w:tc>
        <w:tc>
          <w:tcPr>
            <w:tcW w:type="dxa" w:w="4320"/>
          </w:tcPr>
          <w:p>
            <w:r>
              <w:t>Draft for internal review</w:t>
            </w:r>
          </w:p>
        </w:tc>
      </w:tr>
    </w:tbl>
    <w:p>
      <w:pPr>
        <w:pStyle w:val="Heading2"/>
      </w:pPr>
      <w:r>
        <w:t>Purpose</w:t>
      </w:r>
    </w:p>
    <w:p>
      <w:r>
        <w:t>This memo sets out a recommended prioritization of the pending trademark oppositions filed by or against Atwater Foods, so that TTAB deadlines, budget, and business risk are aligned before we set the next round of filings.</w:t>
      </w:r>
    </w:p>
    <w:p>
      <w:pPr>
        <w:pStyle w:val="Heading2"/>
      </w:pPr>
      <w:r>
        <w:t>Summary Recommendation</w:t>
      </w:r>
    </w:p>
    <w:p>
      <w:r>
        <w:t>We recommend prioritizing the ATWATER FARMHOUSE opposition ahead of the two co-existence disputes, because the discovery deadline is closest and the mark is central to the client's new packaging rollout. The remaining matters can proceed on their existing schedules with lighter resourcing until that deadline passes.</w:t>
      </w:r>
    </w:p>
    <w:p>
      <w:pPr>
        <w:pStyle w:val="Heading2"/>
      </w:pPr>
      <w:r>
        <w:t>Matters and Current Posture</w:t>
      </w:r>
    </w:p>
    <w:p>
      <w:pPr>
        <w:pStyle w:val="ListNumber"/>
      </w:pPr>
      <w:r>
        <w:t>Opposition No. 91287412 — ATWATER FARMHOUSE (Atwater Foods as opposer against Bramwell Foods' application). Discovery closes in five weeks. Highest commercial stakes: the mark anchors the Q1 packaging refresh.</w:t>
      </w:r>
    </w:p>
    <w:p>
      <w:pPr>
        <w:pStyle w:val="ListNumber"/>
      </w:pPr>
      <w:r>
        <w:t>Opposition No. 91288030 — GOLDEN ATWATER (third party opposing Atwater Foods' own application). Currently in the pleadings stage; answer deadline has room to spare.</w:t>
      </w:r>
    </w:p>
    <w:p>
      <w:pPr>
        <w:pStyle w:val="ListNumber"/>
      </w:pPr>
      <w:r>
        <w:t>Opposition No. 91286744 — ATWATER MILL CO. (settlement discussions ongoing with counsel for Hearthstone Provisions). Likely resolves by consent; low near-term burden.</w:t>
      </w:r>
    </w:p>
    <w:p>
      <w:pPr>
        <w:pStyle w:val="Heading2"/>
      </w:pPr>
      <w:r>
        <w:t>Basis for Prioritization</w:t>
      </w:r>
    </w:p>
    <w:p>
      <w:pPr>
        <w:pStyle w:val="ListBullet"/>
      </w:pPr>
      <w:r>
        <w:t>Deadline proximity: the Farmhouse matter has the nearest discovery cutoff and the least schedule slack.</w:t>
      </w:r>
    </w:p>
    <w:p>
      <w:pPr>
        <w:pStyle w:val="ListBullet"/>
      </w:pPr>
      <w:r>
        <w:t>Business dependency: marketing has tied the Farmhouse mark to packaging already in production; an adverse outcome or delay has direct commercial cost.</w:t>
      </w:r>
    </w:p>
    <w:p>
      <w:pPr>
        <w:pStyle w:val="ListBullet"/>
      </w:pPr>
      <w:r>
        <w:t>Resource efficiency: the Mill Co. matter is trending toward a consent settlement and needs monitoring rather than active drafting.</w:t>
      </w:r>
    </w:p>
    <w:p>
      <w:pPr>
        <w:pStyle w:val="ListBullet"/>
      </w:pPr>
      <w:r>
        <w:t>Golden Atwater is early-stage and can absorb a short delay in staffing without jeopardizing the client's position.</w:t>
      </w:r>
    </w:p>
    <w:p>
      <w:pPr>
        <w:pStyle w:val="Heading2"/>
      </w:pPr>
      <w:r>
        <w:t>Proposed Next Steps</w:t>
      </w:r>
    </w:p>
    <w:p>
      <w:pPr>
        <w:pStyle w:val="ListNumber"/>
      </w:pPr>
      <w:r>
        <w:t>Serve initial discovery requests in the Farmhouse opposition this week; target written discovery responses within the standard 30-day window.</w:t>
      </w:r>
    </w:p>
    <w:p>
      <w:pPr>
        <w:pStyle w:val="ListNumber"/>
      </w:pPr>
      <w:r>
        <w:t>Hold the Golden Atwater answer for filing three weeks out, once Farmhouse discovery is served.</w:t>
      </w:r>
    </w:p>
    <w:p>
      <w:pPr>
        <w:pStyle w:val="ListNumber"/>
      </w:pPr>
      <w:r>
        <w:t>Continue settlement correspondence on Mill Co. and circulate a draft consent agreement for internal review once terms are confirmed.</w:t>
      </w:r>
    </w:p>
    <w:p>
      <w:pPr>
        <w:pStyle w:val="ListNumber"/>
      </w:pPr>
      <w:r>
        <w:t>Revisit this prioritization after the Farmhouse discovery deadline or upon any settlement in Mill Co., whichever comes first.</w:t>
      </w:r>
    </w:p>
    <w:p>
      <w:r>
        <w:t>Please let me know if you read the business priorities differently — happy to adjust staffing across the three matters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