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&amp;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w:t>
            </w:r>
          </w:p>
        </w:tc>
      </w:tr>
      <w:tr>
        <w:tc>
          <w:tcPr>
            <w:tcW w:type="dxa" w:w="4320"/>
          </w:tcPr>
          <w:p>
            <w:r>
              <w:t>From</w:t>
            </w:r>
          </w:p>
        </w:tc>
        <w:tc>
          <w:tcPr>
            <w:tcW w:type="dxa" w:w="4320"/>
          </w:tcPr>
          <w:p>
            <w:r>
              <w:t>Petra Kovacs, Associate</w:t>
            </w:r>
          </w:p>
        </w:tc>
      </w:tr>
      <w:tr>
        <w:tc>
          <w:tcPr>
            <w:tcW w:type="dxa" w:w="4320"/>
          </w:tcPr>
          <w:p>
            <w:r>
              <w:t>Re</w:t>
            </w:r>
          </w:p>
        </w:tc>
        <w:tc>
          <w:tcPr>
            <w:tcW w:type="dxa" w:w="4320"/>
          </w:tcPr>
          <w:p>
            <w:r>
              <w:t>Wage-and-Hour Data Analysis — Preliminary Review</w:t>
            </w:r>
          </w:p>
        </w:tc>
      </w:tr>
      <w:tr>
        <w:tc>
          <w:tcPr>
            <w:tcW w:type="dxa" w:w="4320"/>
          </w:tcPr>
          <w:p>
            <w:r>
              <w:t>Status</w:t>
            </w:r>
          </w:p>
        </w:tc>
        <w:tc>
          <w:tcPr>
            <w:tcW w:type="dxa" w:w="4320"/>
          </w:tcPr>
          <w:p>
            <w:r>
              <w:t>Draft for internal review — follow-up in progress</w:t>
            </w:r>
          </w:p>
        </w:tc>
      </w:tr>
    </w:tbl>
    <w:p>
      <w:pPr>
        <w:pStyle w:val="Heading2"/>
      </w:pPr>
      <w:r>
        <w:t>1. Purpose</w:t>
      </w:r>
    </w:p>
    <w:p>
      <w:r>
        <w:t>This memorandum documents the preliminary wage-and-hour data analysis conducted during the scheduled deep-focus block, applying current handbook and policy review standards to the underlying pay data made available to date. The purpose of this review is to identify patterns in recorded time, overtime calculation, and meal/rest break compliance that warrant further factual development before any conclusions are drawn regarding compliance risk.</w:t>
      </w:r>
    </w:p>
    <w:p>
      <w:pPr>
        <w:pStyle w:val="Heading2"/>
      </w:pPr>
      <w:r>
        <w:t>2. Scope and Materials Reviewed</w:t>
      </w:r>
    </w:p>
    <w:p>
      <w:r>
        <w:t>This analysis is limited to the pay data and policy documents currently in hand. It does not constitute a final compliance opinion. For the file: the underlying custodian productions relevant to the broader document review (BATCH-004 and BATCH-008) remain outstanding. Escalation dates for those batches have been confirmed and set on the identity verification tracker per Fionnuala's request, with a visible flag note added directly on that tracker for the team. To the extent those batches contain timekeeping or payroll source records, this analysis may need to be revisited once those materials are received. For the file: the Employment practice huddle also touched on the Devane witness interview plan and timeline, which is a separate workstream and does not bear on the wage-and-hour data reviewed here, but is noted for completeness.</w:t>
      </w:r>
    </w:p>
    <w:p>
      <w:pPr>
        <w:pStyle w:val="ListBullet"/>
      </w:pPr>
      <w:r>
        <w:t>Current employee handbook — meal and rest break policy, overtime policy sections</w:t>
      </w:r>
    </w:p>
    <w:p>
      <w:pPr>
        <w:pStyle w:val="ListBullet"/>
      </w:pPr>
      <w:r>
        <w:t>Payroll summary exports provided by client (pay periods sampled to date)</w:t>
      </w:r>
    </w:p>
    <w:p>
      <w:pPr>
        <w:pStyle w:val="ListBullet"/>
      </w:pPr>
      <w:r>
        <w:t>Timekeeping system exception reports (rounding, missed punches)</w:t>
      </w:r>
    </w:p>
    <w:p>
      <w:pPr>
        <w:pStyle w:val="ListBullet"/>
      </w:pPr>
      <w:r>
        <w:t>Job classification list cross-referenced against exempt/non-exempt status</w:t>
      </w:r>
    </w:p>
    <w:p>
      <w:pPr>
        <w:pStyle w:val="Heading2"/>
      </w:pPr>
      <w:r>
        <w:t>3. Handbook and Policy Standards Applied</w:t>
      </w:r>
    </w:p>
    <w:p>
      <w:r>
        <w:t>The analysis applies the firm's current handbook and policy review standards, specifically:</w:t>
      </w:r>
    </w:p>
    <w:p>
      <w:pPr>
        <w:pStyle w:val="ListNumber"/>
      </w:pPr>
      <w:r>
        <w:t>Overtime policy language must align with the applicable state's daily and weekly overtime thresholds, not solely federal FLSA thresholds.</w:t>
      </w:r>
    </w:p>
    <w:p>
      <w:pPr>
        <w:pStyle w:val="ListNumber"/>
      </w:pPr>
      <w:r>
        <w:t>Meal and rest break policy must specify timing, duration, and the mechanism for recording waivers, consistent with current state guidance.</w:t>
      </w:r>
    </w:p>
    <w:p>
      <w:pPr>
        <w:pStyle w:val="ListNumber"/>
      </w:pPr>
      <w:r>
        <w:t>Rounding practices, where used, must be neutral on average and not systematically favor the employer.</w:t>
      </w:r>
    </w:p>
    <w:p>
      <w:pPr>
        <w:pStyle w:val="ListNumber"/>
      </w:pPr>
      <w:r>
        <w:t>Exempt classification narratives in job descriptions must be tested against actual duties reflected in the data, not merely job titles.</w:t>
      </w:r>
    </w:p>
    <w:p>
      <w:pPr>
        <w:pStyle w:val="Heading2"/>
      </w:pPr>
      <w:r>
        <w:t>4. Preliminary Observations</w:t>
      </w:r>
    </w:p>
    <w:p>
      <w:r>
        <w:t>The following observations are preliminary and are flagged for further factual verification rather than presented as findings:</w:t>
      </w:r>
    </w:p>
    <w:p>
      <w:pPr>
        <w:pStyle w:val="ListBullet"/>
      </w:pPr>
      <w:r>
        <w:t>A subset of non-exempt employees show recurring clock-in rounding to the nearest quarter-hour that trends in the employer's favor across sampled pay periods. In the sample reviewed to date (approximately 40 non-exempt employees across three pay periods), rounding favored the employer in an estimated 60-65% of rounded punches; the magnitude has not yet been quantified across the full population and this figure should be treated as directional only.</w:t>
      </w:r>
    </w:p>
    <w:p>
      <w:pPr>
        <w:pStyle w:val="ListBullet"/>
      </w:pPr>
      <w:r>
        <w:t>Several job descriptions for positions classified as exempt reference duties (e.g., 'assists with...') that may not meet the primary-duty threshold under the applicable exemption test. For example, the 'Assistant Operations Supervisor' description emphasizes assisting functions rather than independent supervisory judgment; this requires comparison against actual time and task data, not just the written description, before any conclusion is drawn.</w:t>
      </w:r>
    </w:p>
    <w:p>
      <w:pPr>
        <w:pStyle w:val="ListBullet"/>
      </w:pPr>
      <w:r>
        <w:t>Meal break waiver documentation is inconsistent — present for some pay periods and absent for others within the same employee record. Preliminary review suggests waiver documentation is missing in roughly one-third of reviewed employee-pay-period combinations, which suggests a recordkeeping gap rather than a substantive waiver practice, though this estimate is based on the sample reviewed to date and requires confirmation against the full data set.</w:t>
      </w:r>
    </w:p>
    <w:p>
      <w:pPr>
        <w:pStyle w:val="ListBullet"/>
      </w:pPr>
      <w:r>
        <w:t>Overtime calculations reviewed to date correctly aggregate hours across the workweek, but the policy language provided does not clearly state the applicable state daily-overtime threshold, creating a potential gap between practice and written policy.</w:t>
      </w:r>
    </w:p>
    <w:p>
      <w:pPr>
        <w:pStyle w:val="Heading2"/>
      </w:pPr>
      <w:r>
        <w:t>4A. Preliminary Figures (Sample Reviewed to Date)</w:t>
      </w:r>
    </w:p>
    <w:tbl>
      <w:tblPr>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Sample Size</w:t>
            </w:r>
          </w:p>
        </w:tc>
        <w:tc>
          <w:tcPr>
            <w:tcW w:type="dxa" w:w="2160"/>
          </w:tcPr>
          <w:p>
            <w:r>
              <w:t>Preliminary Figure</w:t>
            </w:r>
          </w:p>
        </w:tc>
        <w:tc>
          <w:tcPr>
            <w:tcW w:type="dxa" w:w="2160"/>
          </w:tcPr>
          <w:p>
            <w:r>
              <w:t>Confidence</w:t>
            </w:r>
          </w:p>
        </w:tc>
      </w:tr>
      <w:tr>
        <w:tc>
          <w:tcPr>
            <w:tcW w:type="dxa" w:w="2160"/>
          </w:tcPr>
          <w:p>
            <w:r>
              <w:t>Rounding direction (non-exempt)</w:t>
            </w:r>
          </w:p>
        </w:tc>
        <w:tc>
          <w:tcPr>
            <w:tcW w:type="dxa" w:w="2160"/>
          </w:tcPr>
          <w:p>
            <w:r>
              <w:t>~40 employees / 3 pay periods</w:t>
            </w:r>
          </w:p>
        </w:tc>
        <w:tc>
          <w:tcPr>
            <w:tcW w:type="dxa" w:w="2160"/>
          </w:tcPr>
          <w:p>
            <w:r>
              <w:t>60-65% of rounded punches favor employer</w:t>
            </w:r>
          </w:p>
        </w:tc>
        <w:tc>
          <w:tcPr>
            <w:tcW w:type="dxa" w:w="2160"/>
          </w:tcPr>
          <w:p>
            <w:r>
              <w:t>Low — directional only, full population not yet reviewed</w:t>
            </w:r>
          </w:p>
        </w:tc>
      </w:tr>
      <w:tr>
        <w:tc>
          <w:tcPr>
            <w:tcW w:type="dxa" w:w="2160"/>
          </w:tcPr>
          <w:p>
            <w:r>
              <w:t>Meal break waiver documentation gaps</w:t>
            </w:r>
          </w:p>
        </w:tc>
        <w:tc>
          <w:tcPr>
            <w:tcW w:type="dxa" w:w="2160"/>
          </w:tcPr>
          <w:p>
            <w:r>
              <w:t>Sampled employee-pay-period records</w:t>
            </w:r>
          </w:p>
        </w:tc>
        <w:tc>
          <w:tcPr>
            <w:tcW w:type="dxa" w:w="2160"/>
          </w:tcPr>
          <w:p>
            <w:r>
              <w:t>~1/3 of records missing waiver documentation</w:t>
            </w:r>
          </w:p>
        </w:tc>
        <w:tc>
          <w:tcPr>
            <w:tcW w:type="dxa" w:w="2160"/>
          </w:tcPr>
          <w:p>
            <w:r>
              <w:t>Low — subject to confirmation against full data set</w:t>
            </w:r>
          </w:p>
        </w:tc>
      </w:tr>
      <w:tr>
        <w:tc>
          <w:tcPr>
            <w:tcW w:type="dxa" w:w="2160"/>
          </w:tcPr>
          <w:p>
            <w:r>
              <w:t>Exempt job descriptions flagged for duties-test review</w:t>
            </w:r>
          </w:p>
        </w:tc>
        <w:tc>
          <w:tcPr>
            <w:tcW w:type="dxa" w:w="2160"/>
          </w:tcPr>
          <w:p>
            <w:r>
              <w:t>Job classification list reviewed to date</w:t>
            </w:r>
          </w:p>
        </w:tc>
        <w:tc>
          <w:tcPr>
            <w:tcW w:type="dxa" w:w="2160"/>
          </w:tcPr>
          <w:p>
            <w:r>
              <w:t>Multiple titles flagged (e.g., Assistant Operations Supervisor, second-highest-headcount title)</w:t>
            </w:r>
          </w:p>
        </w:tc>
        <w:tc>
          <w:tcPr>
            <w:tcW w:type="dxa" w:w="2160"/>
          </w:tcPr>
          <w:p>
            <w:r>
              <w:t>Assistant Operations Supervisor and second-highest-headcount title comparisons complete — see notes below; remaining titles preliminary, pending task-level data comparison</w:t>
            </w:r>
          </w:p>
        </w:tc>
      </w:tr>
    </w:tbl>
    <w:p>
      <w:r>
        <w:t>For the file: the duties-test comparison for the Assistant Operations Supervisor title against sampled task-level data has been completed. The sampled task data for this title shows a majority of logged time devoted to executing assigned tasks under direct supervisor review, with limited evidence of independent discretion or authority to deviate from prescribed procedures. This preliminary comparison suggests the written job description's emphasis on 'assisting' functions is broadly consistent with the actual task allocation observed, which weighs against satisfaction of the primary-duty threshold for the exemption at issue. This conclusion is based on the sample reviewed to date only and should be treated as preliminary pending review of a larger task-level sample and any additional context from HR or the business unit.</w:t>
      </w:r>
    </w:p>
    <w:p>
      <w:r>
        <w:t>For the file: the duties-test comparison has now also been completed for the second-highest-headcount exempt title identified in Section 6. Sampled task-level data for this title shows a more mixed picture than the Assistant Operations Supervisor title: a meaningful portion of logged time reflects independent scheduling and prioritization decisions, alongside a substantial share of time on execution-level tasks similar to those performed by non-exempt staff. This preliminary comparison does not clearly resolve the primary-duty question either way and warrants a larger task-level sample and input from HR or the business unit before any conclusion is drawn. This is a preliminary read based on the sample reviewed to date only.</w:t>
      </w:r>
    </w:p>
    <w:p>
      <w:pPr>
        <w:pStyle w:val="Heading2"/>
      </w:pPr>
      <w:r>
        <w:t>5. Handbook/Policy Gaps Identified</w:t>
      </w:r>
    </w:p>
    <w:tbl>
      <w:tblPr>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Gap Identified</w:t>
            </w:r>
          </w:p>
        </w:tc>
        <w:tc>
          <w:tcPr>
            <w:tcW w:type="dxa" w:w="2880"/>
          </w:tcPr>
          <w:p>
            <w:r>
              <w:t>Recommended Action</w:t>
            </w:r>
          </w:p>
        </w:tc>
      </w:tr>
      <w:tr>
        <w:tc>
          <w:tcPr>
            <w:tcW w:type="dxa" w:w="2880"/>
          </w:tcPr>
          <w:p>
            <w:r>
              <w:t>Overtime</w:t>
            </w:r>
          </w:p>
        </w:tc>
        <w:tc>
          <w:tcPr>
            <w:tcW w:type="dxa" w:w="2880"/>
          </w:tcPr>
          <w:p>
            <w:r>
              <w:t>Handbook does not specify state daily-overtime threshold</w:t>
            </w:r>
          </w:p>
        </w:tc>
        <w:tc>
          <w:tcPr>
            <w:tcW w:type="dxa" w:w="2880"/>
          </w:tcPr>
          <w:p>
            <w:r>
              <w:t>Add jurisdiction-specific overtime language; confirm against current state statute</w:t>
            </w:r>
          </w:p>
        </w:tc>
      </w:tr>
      <w:tr>
        <w:tc>
          <w:tcPr>
            <w:tcW w:type="dxa" w:w="2880"/>
          </w:tcPr>
          <w:p>
            <w:r>
              <w:t>Meal/Rest Breaks</w:t>
            </w:r>
          </w:p>
        </w:tc>
        <w:tc>
          <w:tcPr>
            <w:tcW w:type="dxa" w:w="2880"/>
          </w:tcPr>
          <w:p>
            <w:r>
              <w:t>No standard waiver form referenced in policy</w:t>
            </w:r>
          </w:p>
        </w:tc>
        <w:tc>
          <w:tcPr>
            <w:tcW w:type="dxa" w:w="2880"/>
          </w:tcPr>
          <w:p>
            <w:r>
              <w:t>Adopt written waiver form and require consistent completion</w:t>
            </w:r>
          </w:p>
        </w:tc>
      </w:tr>
      <w:tr>
        <w:tc>
          <w:tcPr>
            <w:tcW w:type="dxa" w:w="2880"/>
          </w:tcPr>
          <w:p>
            <w:r>
              <w:t>Rounding</w:t>
            </w:r>
          </w:p>
        </w:tc>
        <w:tc>
          <w:tcPr>
            <w:tcW w:type="dxa" w:w="2880"/>
          </w:tcPr>
          <w:p>
            <w:r>
              <w:t>Policy is silent on rounding methodology</w:t>
            </w:r>
          </w:p>
        </w:tc>
        <w:tc>
          <w:tcPr>
            <w:tcW w:type="dxa" w:w="2880"/>
          </w:tcPr>
          <w:p>
            <w:r>
              <w:t>Add neutral rounding provision or move to exact-time capture</w:t>
            </w:r>
          </w:p>
        </w:tc>
      </w:tr>
      <w:tr>
        <w:tc>
          <w:tcPr>
            <w:tcW w:type="dxa" w:w="2880"/>
          </w:tcPr>
          <w:p>
            <w:r>
              <w:t>Exempt Classification</w:t>
            </w:r>
          </w:p>
        </w:tc>
        <w:tc>
          <w:tcPr>
            <w:tcW w:type="dxa" w:w="2880"/>
          </w:tcPr>
          <w:p>
            <w:r>
              <w:t>Job descriptions not updated to reflect current duties</w:t>
            </w:r>
          </w:p>
        </w:tc>
        <w:tc>
          <w:tcPr>
            <w:tcW w:type="dxa" w:w="2880"/>
          </w:tcPr>
          <w:p>
            <w:r>
              <w:t>Coordinate with HR to refresh descriptions and re-test against duties test</w:t>
            </w:r>
          </w:p>
        </w:tc>
      </w:tr>
    </w:tbl>
    <w:p>
      <w:pPr>
        <w:pStyle w:val="Heading2"/>
      </w:pPr>
      <w:r>
        <w:t>6. Next Steps</w:t>
      </w:r>
    </w:p>
    <w:p>
      <w:pPr>
        <w:pStyle w:val="ListNumber"/>
      </w:pPr>
      <w:r>
        <w:t>Quantify rounding impact across full non-exempt population once complete timekeeping export is received; refine the preliminary 60-65% figure noted in Section 4A.</w:t>
      </w:r>
    </w:p>
    <w:p>
      <w:pPr>
        <w:pStyle w:val="ListNumber"/>
      </w:pPr>
      <w:r>
        <w:t>Cross-reference remaining exempt job descriptions against sampled task-level data for the top five exempt titles by headcount; the Assistant Operations Supervisor comparison and the second-highest-headcount title comparison are now complete (see Section 4A) — the former preliminarily weighs against exemption, the latter is inconclusive on the preliminary sample — subject to review of a larger sample. Proceed next to the third-highest-headcount exempt title.</w:t>
      </w:r>
    </w:p>
    <w:p>
      <w:pPr>
        <w:pStyle w:val="ListNumber"/>
      </w:pPr>
      <w:r>
        <w:t>Confirm meal break waiver documentation gap with HR and determine whether it reflects a recordkeeping issue or a substantive compliance issue.</w:t>
      </w:r>
    </w:p>
    <w:p>
      <w:pPr>
        <w:pStyle w:val="ListNumber"/>
      </w:pPr>
      <w:r>
        <w:t>Revisit this analysis upon receipt of BATCH-004 and BATCH-008 productions if those materials bear on payroll or timekeeping practices; escalation dates for these batches are documented on the identity verification tracker for follow-up.</w:t>
      </w:r>
    </w:p>
    <w:p>
      <w:pPr>
        <w:pStyle w:val="ListNumber"/>
      </w:pPr>
      <w:r>
        <w:t>Circulate this memorandum to the supervising partner for review before any client-facing communication regarding findings.</w:t>
      </w:r>
    </w:p>
    <w:p>
      <w:pPr>
        <w:pStyle w:val="Heading2"/>
      </w:pPr>
      <w:r>
        <w:t>7. Status</w:t>
      </w:r>
    </w:p>
    <w:p>
      <w:r>
        <w:t>For the file: this memorandum reflects a preliminary, in-progress analysis prepared during the scheduled deep-focus block and updated following subsequent internal review. The exempt duties-test comparisons for the Assistant Operations Supervisor title and the second-highest-headcount exempt title have now been completed and are reflected in Sections 4A and 6. It is not a final report and should not be relied upon or shared outside the case team pending completion of the remaining outstanding data review noted in Section 6, including the remaining exempt job description duties-test comparisons (beginning with the third-highest-headcount title), receipt of BATCH-004/BATCH-008, and HR confirmation on the waiver documentation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