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Brightwell Internal Investigation</w:t>
      </w:r>
    </w:p>
    <w:p>
      <w:r>
        <w:t>PRIVILEGED AND CONFIDENTIAL — ATTORNEY WORK PRODUCT — SUBJECT TO REVISION</w:t>
      </w:r>
    </w:p>
    <w:p>
      <w:pPr>
        <w:pStyle w:val="Heading2"/>
      </w:pPr>
      <w:r>
        <w:t>I. Purpose and Status</w:t>
      </w:r>
    </w:p>
    <w:p>
      <w:r>
        <w:t>This statement sets out the firm's position on the findings of the internal investigation conducted in response to the underlying complaint, incorporating the analysis in Petra Kovacs's scoping memo as revised following review. That review is closed out. The chronology of counsel's direction of the investigation, previously the sole open item, has now been confirmed in writing. This draft remains in circulation for sign-off before issuance; it is not final and should not be shared outside the case team or produced in any form until that sign-off is complete.</w:t>
      </w:r>
    </w:p>
    <w:p>
      <w:pPr>
        <w:pStyle w:val="Heading2"/>
      </w:pPr>
      <w:r>
        <w:t>II. Summary of Investigation Findings</w:t>
      </w:r>
    </w:p>
    <w:p>
      <w:r>
        <w:t>The investigation scope memo, as revised, identifies the relevant conduct window, the witnesses interviewed, and the documentary record reviewed. Sections 1 and 3 of the memo have been revised and reviewed; those revisions are adequate as to substance, and the privilege claim addressed in Section 3 below is now supported by confirmed written direction of counsel.</w:t>
      </w:r>
    </w:p>
    <w:p>
      <w:pPr>
        <w:pStyle w:val="ListBullet"/>
      </w:pPr>
      <w:r>
        <w:t>The record supports a finding that the complaint was investigated within a reasonable timeframe once received.</w:t>
      </w:r>
    </w:p>
    <w:p>
      <w:pPr>
        <w:pStyle w:val="ListBullet"/>
      </w:pPr>
      <w:r>
        <w:t>The interview sequence followed a rational basis tied to witness availability and role proximity to the complainant, though the scoping memo's own rationale for that sequencing was flagged during review as thinly supported and should not be overstated in this statement.</w:t>
      </w:r>
    </w:p>
    <w:p>
      <w:pPr>
        <w:pStyle w:val="ListBullet"/>
      </w:pPr>
      <w:r>
        <w:t>Reliance on the absence of prior complaints as corroborative of the respondent's conduct is a permissible inference but a weak one standing alone; this statement should characterize it as one factor among several, not as independently dispositive.</w:t>
      </w:r>
    </w:p>
    <w:p>
      <w:pPr>
        <w:pStyle w:val="ListBullet"/>
      </w:pPr>
      <w:r>
        <w:t>No timeline slippage has been established on this record. Any assertion to the contrary in earlier drafts outran the evidence and has been removed.</w:t>
      </w:r>
    </w:p>
    <w:p>
      <w:pPr>
        <w:pStyle w:val="Heading2"/>
      </w:pPr>
      <w:r>
        <w:t>III. The Privilege Tie-In Issue (Section 3)</w:t>
      </w:r>
    </w:p>
    <w:p>
      <w:r>
        <w:t>Section 3 of the scoping memo asserts that the investigation was conducted at counsel's direction for the purpose of rendering legal advice, and that materials generated in the course of the investigation are therefore protected by attorney-client privilege and work-product doctrine. That claim has now been confirmed against actual practice, and this statement's privilege tie-in language is aligned to it.</w:t>
      </w:r>
    </w:p>
    <w:p>
      <w:r>
        <w:t>Counsel's written direction of the investigation has been confirmed and predates the interviews as to which privilege is claimed. Written confirmation establishes the date and form of counsel's engagement to direct the investigation and confirms that HR personnel conducting or participating in interviews were acting at counsel's specific direction from that point forward. Accordingly, the privilege tie-in as drafted is no longer overstated: the materials generated in the course of the investigation following documented direction were created primarily for the purpose of rendering legal advice, and the privilege claim in Section 3 may be asserted on that basis.</w:t>
      </w:r>
    </w:p>
    <w:p>
      <w:pPr>
        <w:pStyle w:val="ListNumber"/>
      </w:pPr>
      <w:r>
        <w:t>Confirmed: the date and form of counsel's engagement to direct the investigation (written directive) predates the interviews as to which privilege is claimed.</w:t>
      </w:r>
    </w:p>
    <w:p>
      <w:pPr>
        <w:pStyle w:val="ListNumber"/>
      </w:pPr>
      <w:r>
        <w:t>Confirmed: HR personnel who conducted or participated in interviews were acting at counsel's specific direction, now documented contemporaneously in the written confirmation.</w:t>
      </w:r>
    </w:p>
    <w:p>
      <w:pPr>
        <w:pStyle w:val="ListNumber"/>
      </w:pPr>
      <w:r>
        <w:t>No interviews or document collection predate counsel's direction on the confirmed chronology; the privilege claim need not be carved out or narrowed on that basis.</w:t>
      </w:r>
    </w:p>
    <w:p>
      <w:pPr>
        <w:pStyle w:val="ListNumber"/>
      </w:pPr>
      <w:r>
        <w:t>This statement may now assert the privilege claim over the investigation file as scoped to the confirmed period of counsel's direction.</w:t>
      </w:r>
    </w:p>
    <w:p>
      <w:pPr>
        <w:pStyle w:val="Heading2"/>
      </w:pPr>
      <w:r>
        <w:t>IV. Recommended Position</w:t>
      </w:r>
    </w:p>
    <w:p>
      <w:r>
        <w:t>The firm's position is: the investigation findings support the conclusions stated in Sections 1 and 3 of the revised scoping memo as to the substance of the complaint; the privilege claim as to investigation materials is properly asserted for the period following counsel's confirmed written direction, consistent with the chronology now on the record.</w:t>
      </w:r>
    </w:p>
    <w:p>
      <w:pPr>
        <w:pStyle w:val="Heading2"/>
      </w:pPr>
      <w:r>
        <w:t>V. Next Steps</w:t>
      </w:r>
    </w:p>
    <w:p>
      <w:pPr>
        <w:pStyle w:val="ListNumber"/>
      </w:pPr>
      <w:r>
        <w:t>Engagement/direction chronology confirmed with Petra Kovacs; no further confirmation required.</w:t>
      </w:r>
    </w:p>
    <w:p>
      <w:pPr>
        <w:pStyle w:val="ListNumber"/>
      </w:pPr>
      <w:r>
        <w:t>Section 3 privilege scope language revised to match confirmed chronology.</w:t>
      </w:r>
    </w:p>
    <w:p>
      <w:pPr>
        <w:pStyle w:val="ListNumber"/>
      </w:pPr>
      <w:r>
        <w:t>Route final version for sign-off before any external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