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Docket Escalation Memo</w:t>
      </w:r>
    </w:p>
    <w:p>
      <w:r>
        <w:t>To: Bennett Ashworth, Lucien Abara</w:t>
      </w:r>
    </w:p>
    <w:p>
      <w:r>
        <w:t>From: Thandiwe Mokoena, Docket &amp; Calendar Manager</w:t>
      </w:r>
    </w:p>
    <w:p>
      <w:r>
        <w:t>Date: Today</w:t>
      </w:r>
    </w:p>
    <w:p>
      <w:r>
        <w:t>Re: Outstanding deadlines with unresponsive matter owners — escalation for reassignment or confirmation</w:t>
      </w:r>
    </w:p>
    <w:p>
      <w:pPr>
        <w:pStyle w:val="Heading2"/>
      </w:pPr>
      <w:r>
        <w:t>Purpose</w:t>
      </w:r>
    </w:p>
    <w:p>
      <w:r>
        <w:t>This memo escalates docket items where the assigned owner has been unresponsive to reminders and the deadline is approaching or has already passed. Per this morning's standing docket call and the follow-up thread with Bennett Ashworth, this is being raised as a formal escalation rather than a routine status update, because owner non-response is now the controlling risk on more than one matter.</w:t>
      </w:r>
    </w:p>
    <w:p>
      <w:pPr>
        <w:pStyle w:val="Heading2"/>
      </w:pPr>
      <w:r>
        <w:t>Items Requiring Immediate Attention</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Matter</w:t>
            </w:r>
          </w:p>
        </w:tc>
        <w:tc>
          <w:tcPr>
            <w:tcW w:type="dxa" w:w="1440"/>
          </w:tcPr>
          <w:p>
            <w:r>
              <w:t>Item</w:t>
            </w:r>
          </w:p>
        </w:tc>
        <w:tc>
          <w:tcPr>
            <w:tcW w:type="dxa" w:w="1440"/>
          </w:tcPr>
          <w:p>
            <w:r>
              <w:t>Owner</w:t>
            </w:r>
          </w:p>
        </w:tc>
        <w:tc>
          <w:tcPr>
            <w:tcW w:type="dxa" w:w="1440"/>
          </w:tcPr>
          <w:p>
            <w:r>
              <w:t>Deadline</w:t>
            </w:r>
          </w:p>
        </w:tc>
        <w:tc>
          <w:tcPr>
            <w:tcW w:type="dxa" w:w="1440"/>
          </w:tcPr>
          <w:p>
            <w:r>
              <w:t>Days Remaining</w:t>
            </w:r>
          </w:p>
        </w:tc>
        <w:tc>
          <w:tcPr>
            <w:tcW w:type="dxa" w:w="1440"/>
          </w:tcPr>
          <w:p>
            <w:r>
              <w:t>Status</w:t>
            </w:r>
          </w:p>
        </w:tc>
      </w:tr>
      <w:tr>
        <w:tc>
          <w:tcPr>
            <w:tcW w:type="dxa" w:w="1440"/>
          </w:tcPr>
          <w:p>
            <w:r>
              <w:t>Northmoor — Sandhurst add-on diligence (tkt-000011)</w:t>
            </w:r>
          </w:p>
        </w:tc>
        <w:tc>
          <w:tcPr>
            <w:tcW w:type="dxa" w:w="1440"/>
          </w:tcPr>
          <w:p>
            <w:r>
              <w:t>Odell/Whitfield estoppel certificate outstanding</w:t>
            </w:r>
          </w:p>
        </w:tc>
        <w:tc>
          <w:tcPr>
            <w:tcW w:type="dxa" w:w="1440"/>
          </w:tcPr>
          <w:p>
            <w:r>
              <w:t>Quentin</w:t>
            </w:r>
          </w:p>
        </w:tc>
        <w:tc>
          <w:tcPr>
            <w:tcW w:type="dxa" w:w="1440"/>
          </w:tcPr>
          <w:p>
            <w:r>
              <w:t>12/12 (DE good standing) complete; estoppel deadline tracked separately</w:t>
            </w:r>
          </w:p>
        </w:tc>
        <w:tc>
          <w:tcPr>
            <w:tcW w:type="dxa" w:w="1440"/>
          </w:tcPr>
          <w:p>
            <w:r>
              <w:t>Overdue as of last check</w:t>
            </w:r>
          </w:p>
        </w:tc>
        <w:tc>
          <w:tcPr>
            <w:tcW w:type="dxa" w:w="1440"/>
          </w:tcPr>
          <w:p>
            <w:r>
              <w:t>Owner unresponsive — escalating per Bennett/Lucien thread</w:t>
            </w:r>
          </w:p>
        </w:tc>
      </w:tr>
      <w:tr>
        <w:tc>
          <w:tcPr>
            <w:tcW w:type="dxa" w:w="1440"/>
          </w:tcPr>
          <w:p>
            <w:r>
              <w:t>Verity Grain — Ardmore elevator acquisition (tkt-000005)</w:t>
            </w:r>
          </w:p>
        </w:tc>
        <w:tc>
          <w:tcPr>
            <w:tcW w:type="dxa" w:w="1440"/>
          </w:tcPr>
          <w:p>
            <w:r>
              <w:t>Closing condition item, owner-unresponsive per escalation to team channel</w:t>
            </w:r>
          </w:p>
        </w:tc>
        <w:tc>
          <w:tcPr>
            <w:tcW w:type="dxa" w:w="1440"/>
          </w:tcPr>
          <w:p>
            <w:r>
              <w:t>Samir</w:t>
            </w:r>
          </w:p>
        </w:tc>
        <w:tc>
          <w:tcPr>
            <w:tcW w:type="dxa" w:w="1440"/>
          </w:tcPr>
          <w:p>
            <w:r>
              <w:t>Per closing schedule</w:t>
            </w:r>
          </w:p>
        </w:tc>
        <w:tc>
          <w:tcPr>
            <w:tcW w:type="dxa" w:w="1440"/>
          </w:tcPr>
          <w:p>
            <w:r>
              <w:t>See note below</w:t>
            </w:r>
          </w:p>
        </w:tc>
        <w:tc>
          <w:tcPr>
            <w:tcW w:type="dxa" w:w="1440"/>
          </w:tcPr>
          <w:p>
            <w:r>
              <w:t>Escalated to per-thandiwe-mokoena and per-bennett-ashworth channels; no update received</w:t>
            </w:r>
          </w:p>
        </w:tc>
      </w:tr>
    </w:tbl>
    <w:p>
      <w:pPr>
        <w:pStyle w:val="Heading2"/>
      </w:pPr>
      <w:r>
        <w:t>Chronology of Escalation</w:t>
      </w:r>
    </w:p>
    <w:p>
      <w:pPr>
        <w:pStyle w:val="ListNumber"/>
      </w:pPr>
      <w:r>
        <w:t>Standing AM docket call held; active matters reviewed for double-bookings and deadline conflicts.</w:t>
      </w:r>
    </w:p>
    <w:p>
      <w:pPr>
        <w:pStyle w:val="ListNumber"/>
      </w:pPr>
      <w:r>
        <w:t>Ardmore item escalated to team channel by Thandiwe Mokoena as owner-unresponsive.</w:t>
      </w:r>
    </w:p>
    <w:p>
      <w:pPr>
        <w:pStyle w:val="ListNumber"/>
      </w:pPr>
      <w:r>
        <w:t>Bennett Ashworth confirmed Samir unresponsive, separate from an unrelated missed item, and agreed this warrants more than a status note.</w:t>
      </w:r>
    </w:p>
    <w:p>
      <w:pPr>
        <w:pStyle w:val="ListNumber"/>
      </w:pPr>
      <w:r>
        <w:t>Thandiwe Mokoena confirmed agreement that this requires escalation, not routine status tracking.</w:t>
      </w:r>
    </w:p>
    <w:p>
      <w:pPr>
        <w:pStyle w:val="ListNumber"/>
      </w:pPr>
      <w:r>
        <w:t>Bennett Ashworth reiterated: same root cause as before — owner unresponsive — on the second item.</w:t>
      </w:r>
    </w:p>
    <w:p>
      <w:pPr>
        <w:pStyle w:val="ListNumber"/>
      </w:pPr>
      <w:r>
        <w:t>Lucien Abara confirmed Thandiwe's redirect of the escalation to the appropriate owners.</w:t>
      </w:r>
    </w:p>
    <w:p>
      <w:pPr>
        <w:pStyle w:val="Heading2"/>
      </w:pPr>
      <w:r>
        <w:t>Requested Action</w:t>
      </w:r>
    </w:p>
    <w:p>
      <w:pPr>
        <w:pStyle w:val="ListBullet"/>
      </w:pPr>
      <w:r>
        <w:t>Confirm whether Samir remains the responsible owner on the Ardmore closing item, or reassign.</w:t>
      </w:r>
    </w:p>
    <w:p>
      <w:pPr>
        <w:pStyle w:val="ListBullet"/>
      </w:pPr>
      <w:r>
        <w:t>Confirm whether Quentin remains the responsible owner on the Odell/Whitfield estoppel certificate, or reassign.</w:t>
      </w:r>
    </w:p>
    <w:p>
      <w:pPr>
        <w:pStyle w:val="ListBullet"/>
      </w:pPr>
      <w:r>
        <w:t>Provide a revised date for each item so the docket reflects an accurate deadline rather than a lapsed one.</w:t>
      </w:r>
    </w:p>
    <w:p>
      <w:pPr>
        <w:pStyle w:val="ListBullet"/>
      </w:pPr>
      <w:r>
        <w:t>Advise if either item should be raised to the client directly given the elapsed time since first reminder.</w:t>
      </w:r>
    </w:p>
    <w:p>
      <w:r>
        <w:t>Docket will continue to send reminders at the standing cadence until each item is either completed or formally reassigned with a new date. No further status-only updates will be sent on these two items; this memo stands as the record of escalation.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