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Thandiwe Mokoena; Rosalie Duchamp; Lucien Abara; Hyunwoo Bae; Jamal Okonkwo</w:t>
      </w:r>
    </w:p>
    <w:p>
      <w:r>
        <w:t>From: Bennett Ashworth</w:t>
      </w:r>
    </w:p>
    <w:p>
      <w:r>
        <w:t>Re: Coastal Meridian — Regulatory Inquiry — Second Request Tracker, Unidentified Docket Entry, EOD Deadline</w:t>
      </w:r>
    </w:p>
    <w:p>
      <w:pPr>
        <w:pStyle w:val="Heading2"/>
      </w:pPr>
      <w:r>
        <w:t>I. Status</w:t>
      </w:r>
    </w:p>
    <w:p>
      <w:r>
        <w:t>EOD has now passed on the open item concerning the unidentified docket entry on the Second Request tracker. See record. Lucien Abara has confirmed he cannot tie the entry to the production log as it currently stands, and Hyunwoo Bae has independently agreed the entry is resolved for purposes of moving forward on our end. Jamal Okonkwo has taken the position, correctly, that the call on how to characterize the entry for the response is not his to make. Thandiwe Mokoena and Rosalie Duchamp have both confirmed the EOD deadline is now enforced and that no further extension is contemplated absent a showing of cause.</w:t>
      </w:r>
    </w:p>
    <w:p>
      <w:r>
        <w:t>Following today's docket call, I am closing this thread on the following basis, effective immediately. Thandiwe and Rosalie have been briefed on this disposition directly and have raised no objection to the characterization set out in Section II.</w:t>
      </w:r>
    </w:p>
    <w:p>
      <w:pPr>
        <w:pStyle w:val="Heading2"/>
      </w:pPr>
      <w:r>
        <w:t>II. Disposition of the Docket Entry</w:t>
      </w:r>
    </w:p>
    <w:p>
      <w:pPr>
        <w:pStyle w:val="ListNumber"/>
      </w:pPr>
      <w:r>
        <w:t>The entry is treated as unidentified in the production log as of today. It has now been logged as such in the Second Request tracker with a note-to-file, not left blank and not backfilled by assumption.</w:t>
      </w:r>
    </w:p>
    <w:p>
      <w:pPr>
        <w:pStyle w:val="ListNumber"/>
      </w:pPr>
      <w:r>
        <w:t>Lucien Abara's inability to tie the entry to the log is credited and recorded; no further inquiry is required of him on this point absent new information from the client.</w:t>
      </w:r>
    </w:p>
    <w:p>
      <w:pPr>
        <w:pStyle w:val="ListNumber"/>
      </w:pPr>
      <w:r>
        <w:t>Because the EOD deadline has passed without a contrary identification, the entry is finalized as 'unresolved — no client confirmation' for purposes of our response to the Second Request. This is not the same as conceding the document does not exist; it reflects only that we cannot represent to the agency that we have identified it.</w:t>
      </w:r>
    </w:p>
    <w:p>
      <w:pPr>
        <w:pStyle w:val="ListNumber"/>
      </w:pPr>
      <w:r>
        <w:t>Any revision to this status after today requires an affirmative, dated confirmation from the client or from Lucien, not a further round of chat traffic.</w:t>
      </w:r>
    </w:p>
    <w:p>
      <w:pPr>
        <w:pStyle w:val="Heading2"/>
      </w:pPr>
      <w:r>
        <w:t>III. What Moved Today</w:t>
      </w:r>
    </w:p>
    <w:p>
      <w:r>
        <w:t>The docket entry issue is closed on the terms above. This is a substantive disposition, not a status echo: the tracker moves from 'pending client confirmation' to 'unresolved — no client confirmation, EOD enforced,' and that characterization will govern how we describe our production posture to the agency if asked. If Thandiwe or Rosalie takes a different view of how this should be represented externally, I want that flagged before the response goes out, not after. As of today's call, no such objection has been raised, and the production plan and scope for the Second Request response proceed on this basis.</w:t>
      </w:r>
    </w:p>
    <w:p>
      <w:pPr>
        <w:pStyle w:val="Heading2"/>
      </w:pPr>
      <w:r>
        <w:t>IV. Outstanding</w:t>
      </w:r>
    </w:p>
    <w:p>
      <w:pPr>
        <w:pStyle w:val="ListBullet"/>
      </w:pPr>
      <w:r>
        <w:t>Marguerite Oyelaran's email raises two distinct points: (a) fee overage against approved budget, and (b) a request for an exact date on the Second Request timeline. The budget point is not addressed here and requires a separate response given client sensitivity; I will take that up with Marguerite directly. The date-certainty point, however, bears on the tracker directly — I will confirm the exact date to Marguerite once the response package is finalized, consistent with the EOD-enforced posture above.</w:t>
      </w:r>
    </w:p>
    <w:p>
      <w:pPr>
        <w:pStyle w:val="ListBullet"/>
      </w:pPr>
      <w:r>
        <w:t>Rosalie's separate item flagged in chat — not related to the Pryor matter — remains open and is being tracked apart from this memorandum; it does not affect the disposition in Section II.</w:t>
      </w:r>
    </w:p>
    <w:p>
      <w:pPr>
        <w:pStyle w:val="ListBullet"/>
      </w:pPr>
      <w:r>
        <w:t>Desmond Achebe's reserve assessment request is likewise separate and will be addressed once I have had a chance to review the underlying exposure figures.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