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Client Legal Team</w:t>
      </w:r>
    </w:p>
    <w:p>
      <w:r>
        <w:t>From: Cecile Marchand, Partner, Litigation</w:t>
      </w:r>
    </w:p>
    <w:p>
      <w:r>
        <w:t>Re: Merits and Sequencing Assessment — Trademark Oppositions Filed in Both Markets</w:t>
      </w:r>
    </w:p>
    <w:p>
      <w:r>
        <w:t>This memorandum responds directly to the repeated follow-up requests for a substantive assessment of the pending trademark oppositions. I recognize this has been overdue and appreciate the patience shown while I completed the analysis properly rather than quickly. What follows addresses the merits in each market and the recommended sequencing between them, together with a closing note on a related exposure the client should be tracking. This assessment is now finalized; see the closing section below.</w:t>
      </w:r>
    </w:p>
    <w:p>
      <w:pPr>
        <w:pStyle w:val="Heading2"/>
      </w:pPr>
      <w:r>
        <w:t>1. Scope and Posture</w:t>
      </w:r>
    </w:p>
    <w:p>
      <w:r>
        <w:t>This assessment covers the two trademark opposition proceedings currently pending — one in each of the two relevant markets — arising from the same underlying mark and filing strategy. I address each proceeding's likelihood of success on the merits, then turn to the question that has driven most of the follow-up traffic: whether the two proceedings should be pursued concurrently or sequenced, and if sequenced, in what order.</w:t>
      </w:r>
    </w:p>
    <w:p>
      <w:pPr>
        <w:pStyle w:val="Heading2"/>
      </w:pPr>
      <w:r>
        <w:t>2. Merits — Market One Opposition</w:t>
      </w:r>
    </w:p>
    <w:p>
      <w:r>
        <w:t>The opposition in the first market rests principally on a likelihood-of-confusion theory grounded in phonetic similarity and overlapping channels of trade. The applicant's mark shares a dominant syllabic structure with the opposer's registered mark, and the goods identified in the application overlap substantially with the opposer's registered classes. On priority, the opposer's registration predates the applicant's filing date, which is favorable. The evidentiary record on continuous use in this market previously showed a gap; that gap has since been closed on further review of the file, and I am satisfied the record now supports continuous use through the relevant period, including the two-year interval previously flagged. I no longer regard a non-use or abandonment argument as a serious threat on this record. On balance, I assess the merits here as favorable — better than even odds, and more comfortably so than in my earlier read.</w:t>
      </w:r>
    </w:p>
    <w:p>
      <w:pPr>
        <w:pStyle w:val="Heading2"/>
      </w:pPr>
      <w:r>
        <w:t>3. Merits — Market Two Opposition</w:t>
      </w:r>
    </w:p>
    <w:p>
      <w:r>
        <w:t>The second market presents a cleaner record. Priority is undisputed, use in commerce has been continuous and well-documented, and the marks are closer in appearance as well as sound. The principal risk is procedural rather than substantive: the opposition was filed close to the deadline, and there is a colorable argument that one supporting exhibit was served a day outside the applicable window. That is curable on this record, but it should be addressed affirmatively rather than left for the tribunal to raise. Substantively, I regard this proceeding as the stronger of the two.</w:t>
      </w:r>
    </w:p>
    <w:p>
      <w:pPr>
        <w:pStyle w:val="Heading2"/>
      </w:pPr>
      <w:r>
        <w:t>4. Sequencing Recommendation</w:t>
      </w:r>
    </w:p>
    <w:p>
      <w:r>
        <w:t>I recommend advancing the Market Two opposition first and seeking a short suspension or extension in Market One pending its outcome. The reasoning is straightforward: a favorable result in Market Two, where the record is cleaner, will generate findings on the parties' actual use and the strength of the senior mark that can be carried into Market One. Pursuing both simultaneously risks locking in a weaker evidentiary record in Market One before the stronger proceeding has had the chance to develop that record. Sequencing also concentrates near-term cost on the proceeding most likely to succeed, which is the more defensible use of budget in any event. This recommendation is now final rather than provisional; the continuous-use gap in Market One that previously counseled caution has been resolved, and no open dependency remains on either proceeding's response.</w:t>
      </w:r>
    </w:p>
    <w:p>
      <w:pPr>
        <w:pStyle w:val="ListNumber"/>
      </w:pPr>
      <w:r>
        <w:t>File for suspension or extension in the Market One opposition within the current response window.</w:t>
      </w:r>
    </w:p>
    <w:p>
      <w:pPr>
        <w:pStyle w:val="ListNumber"/>
      </w:pPr>
      <w:r>
        <w:t>Proceed with discovery and briefing in the Market Two opposition on the existing schedule.</w:t>
      </w:r>
    </w:p>
    <w:p>
      <w:pPr>
        <w:pStyle w:val="ListNumber"/>
      </w:pPr>
      <w:r>
        <w:t>Submit the continuous-use evidence now assembled for Market One in parallel, so it is on record regardless of the Market Two outcome.</w:t>
      </w:r>
    </w:p>
    <w:p>
      <w:pPr>
        <w:pStyle w:val="ListNumber"/>
      </w:pPr>
      <w:r>
        <w:t>Reassess Market One strategy once a decision or settlement posture emerges in Market Two.</w:t>
      </w:r>
    </w:p>
    <w:p>
      <w:pPr>
        <w:pStyle w:val="Heading2"/>
      </w:pPr>
      <w:r>
        <w:t>5. Related Exposure — Insurer's Reservation of Rights on the Recall Claim</w:t>
      </w:r>
    </w:p>
    <w:p>
      <w:r>
        <w:t>Since the last draft of this assessment, the insurer issued a reservation-of-rights letter on the separate recall claim. That development does not change the merits or sequencing conclusions in Sections 1 through 4 above, but it bears directly on how aggressively the client can fund the trademark oppositions in the near term, and it signals a related exposure that should be tracked alongside this assessment rather than treated as a separate, unrelated workstream. I am reviewing the reservation-of-rights letter, the policy, and the notice correspondence separately and will report on coverage implications under separate cover.</w:t>
      </w:r>
    </w:p>
    <w:p>
      <w:pPr>
        <w:pStyle w:val="Heading2"/>
      </w:pPr>
      <w:r>
        <w:t>Open Items Closed</w:t>
      </w:r>
    </w:p>
    <w:p>
      <w:r>
        <w:t>The continuous-use gap identified in the earlier draft of Section 2 has been closed following further review of the record; I am satisfied the evidentiary basis for priority and continuous use in Market One is now adequate to support the merits assessment above without qualification. The sequencing analysis in Section 4, previously offered on a provisional basis pending that review, is no longer provisional and reflects the firm's completed conclusion. The earlier hedge on the Market One response — that it depended on the Market Two record developing favorably before Market One's gap could be addressed — is removed; the recommended priority read stands as a completed analysis. This memorandum is accordingly finalized.</w:t>
      </w:r>
    </w:p>
    <w:p>
      <w:pPr>
        <w:pStyle w:val="Heading2"/>
      </w:pPr>
      <w:r>
        <w:t>Closing Note</w:t>
      </w:r>
    </w:p>
    <w:p>
      <w:r>
        <w:t>I recommend the client group treat two items as open agenda points alongside this memorandum: (1) the sequencing decision above, which should be confirmed promptly so the Market One extension can be filed within the window; and (2) the reservation-of-rights issue on the recall claim addressed in Section 5, which warrants its own discussion given its bearing on litigation funding generally. I am available to walk through either by call at the client's convenience.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