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Cotswold Mutual / Aldworth Professional Liability</w:t>
            </w:r>
          </w:p>
        </w:tc>
      </w:tr>
      <w:tr>
        <w:tc>
          <w:tcPr>
            <w:tcW w:type="dxa" w:w="4320"/>
          </w:tcPr>
          <w:p>
            <w:r>
              <w:t>From</w:t>
            </w:r>
          </w:p>
        </w:tc>
        <w:tc>
          <w:tcPr>
            <w:tcW w:type="dxa" w:w="4320"/>
          </w:tcPr>
          <w:p>
            <w:r>
              <w:t>Lucien Abara, Senior Associate</w:t>
            </w:r>
          </w:p>
        </w:tc>
      </w:tr>
      <w:tr>
        <w:tc>
          <w:tcPr>
            <w:tcW w:type="dxa" w:w="4320"/>
          </w:tcPr>
          <w:p>
            <w:r>
              <w:t>Re</w:t>
            </w:r>
          </w:p>
        </w:tc>
        <w:tc>
          <w:tcPr>
            <w:tcW w:type="dxa" w:w="4320"/>
          </w:tcPr>
          <w:p>
            <w:r>
              <w:t>Standard of care and causation defenses available to Aldworth</w:t>
            </w:r>
          </w:p>
        </w:tc>
      </w:tr>
      <w:tr>
        <w:tc>
          <w:tcPr>
            <w:tcW w:type="dxa" w:w="4320"/>
          </w:tcPr>
          <w:p>
            <w:r>
              <w:t>Status</w:t>
            </w:r>
          </w:p>
        </w:tc>
        <w:tc>
          <w:tcPr>
            <w:tcW w:type="dxa" w:w="4320"/>
          </w:tcPr>
          <w:p>
            <w:r>
              <w:t>Draft for partner review</w:t>
            </w:r>
          </w:p>
        </w:tc>
      </w:tr>
    </w:tbl>
    <w:p>
      <w:pPr>
        <w:pStyle w:val="Heading2"/>
      </w:pPr>
      <w:r>
        <w:t>Conclusion</w:t>
      </w:r>
    </w:p>
    <w:p>
      <w:r>
        <w:t>The better view is that Aldworth's strongest defense lies not in disputing the applicable standard of care but in severing the causal chain between the alleged breach and Cotswold Mutual's claimed loss. The standard-of-care argument, while not frivolous, asks the trier of fact to credit a minority position among testifying experts in this specialty; the causation argument instead relies on documents already in the record and does not require winning a battle of competing experts on the underlying professional norm. We recommend the defense brief lead with causation and treat standard of care as a secondary, preserve-the-issue argument.</w:t>
      </w:r>
    </w:p>
    <w:p>
      <w:pPr>
        <w:pStyle w:val="Heading2"/>
      </w:pPr>
      <w:r>
        <w:t>Background</w:t>
      </w:r>
    </w:p>
    <w:p>
      <w:r>
        <w:t>Cotswold Mutual insures Aldworth under a professional liability policy and has tendered defense of the underlying claim, which alleges that Aldworth's advice to its client fell below the applicable standard of care and proximately caused the client's loss. This memorandum addresses two questions: (1) whether the record supports a viable dispute over the applicable standard of care, and (2) whether, even if a breach is assumed, the claimed loss can be traced to that breach as a matter of causation.</w:t>
      </w:r>
    </w:p>
    <w:p>
      <w:pPr>
        <w:pStyle w:val="Heading2"/>
      </w:pPr>
      <w:r>
        <w:t>Standard of Care</w:t>
      </w:r>
    </w:p>
    <w:p>
      <w:r>
        <w:t>The claimant's expert has articulated a standard that would require Aldworth to have taken an additional verification step before rendering the advice at issue. Aldworth's own expert, and at least one treatise in the specialty, describe that step as customary in some but not all engagements of this type, turning on the sophistication of the client and the scope of the engagement letter. The engagement letter here is silent on the scope question, which weakens Aldworth's position but does not resolve it against Aldworth. This is a triable dispute, but one where Aldworth is arguing against the grain of at least one credible expert voice, and the outcome will likely turn on which expert the fact-finder credits.</w:t>
      </w:r>
    </w:p>
    <w:p>
      <w:r>
        <w:t>Note on authority pull: the January-dated standard-of-care authority pull figures previously cited in this section have been corrected to align with the January cite-check status maintained elsewhere in the file. This inconsistency was flagged for Rosalie and Cecile and has now been reconciled; no substantive change to the analysis above results from the correction, but citations to the underlying authorities should be verified against the current cite-check log before this memo is finalized.</w:t>
      </w:r>
    </w:p>
    <w:p>
      <w:pPr>
        <w:pStyle w:val="Heading2"/>
      </w:pPr>
      <w:r>
        <w:t>Causation</w:t>
      </w:r>
    </w:p>
    <w:p>
      <w:r>
        <w:t>Independent of the standard-of-care dispute, the record contains contemporaneous correspondence showing that the client received and considered advice from a second, unrelated advisor before taking the action that produced the claimed loss. That intervening advice addressed the same subject matter as Aldworth's advice and reached a similar practical recommendation. If the client's loss flowed from its own decision after considering both sources, Aldworth's alleged breach becomes difficult to isolate as the proximate cause. This argument does not require the fact-finder to resolve the standard-of-care dispute at all — it can accept, for argument's sake, that Aldworth breached, and still find that the breach was not the operative cause of the loss.</w:t>
      </w:r>
    </w:p>
    <w:p>
      <w:pPr>
        <w:pStyle w:val="Heading2"/>
      </w:pPr>
      <w:r>
        <w:t>Recommendation</w:t>
      </w:r>
    </w:p>
    <w:p>
      <w:pPr>
        <w:pStyle w:val="ListNumber"/>
      </w:pPr>
      <w:r>
        <w:t>Lead the defense brief with the causation argument, anchored in the intervening-advisor correspondence.</w:t>
      </w:r>
    </w:p>
    <w:p>
      <w:pPr>
        <w:pStyle w:val="ListNumber"/>
      </w:pPr>
      <w:r>
        <w:t>Preserve the standard-of-care argument as an alternative ground, supported by Aldworth's expert and the treatise citation, but do not rest the defense on it.</w:t>
      </w:r>
    </w:p>
    <w:p>
      <w:pPr>
        <w:pStyle w:val="ListNumber"/>
      </w:pPr>
      <w:r>
        <w:t>Request that Cotswold Mutual's claims team confirm whether the intervening-advisor correspondence has already been produced in discovery, to avoid a late-production dispute.</w:t>
      </w:r>
    </w:p>
    <w:p>
      <w:pPr>
        <w:pStyle w:val="ListNumber"/>
      </w:pPr>
      <w:r>
        <w:t>Flag for the partner whether a motion for summary judgment on causation alone is worth briefing before trial, given the documentary (rather than expert-dependent) nature of the argument.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