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p>
      <w:r>
        <w:t>To: Desmond Achebe, Cotswold Mutual Insurance Company</w:t>
      </w:r>
    </w:p>
    <w:p>
      <w:r>
        <w:t>From: Cecile Marchand</w:t>
      </w:r>
    </w:p>
    <w:p>
      <w:r>
        <w:t>Re: Coverage Opinion — Brackley Claim; Reservation of Rights</w:t>
      </w:r>
    </w:p>
    <w:p>
      <w:r>
        <w:t>This memorandum addresses coverage under the referenced policy for the claim asserted by Brackley against the insured (the "Brackley Claim"). It is provided at the request of Cotswold Mutual for use in evaluating reserve exposure and in determining whether a reservation-of-rights letter should issue. This opinion is limited to the facts and policy language identified below and is subject to revision if additional facts emerge in discovery or otherwise. This memorandum has been updated to reflect Cotswold's pending professional liability reserve review, as referenced in Mr. Achebe's correspondence to this office; the analysis below should be read together with that review.</w:t>
      </w:r>
    </w:p>
    <w:p>
      <w:pPr>
        <w:pStyle w:val="Heading2"/>
      </w:pPr>
      <w:r>
        <w:t>I. Question Presented</w:t>
      </w:r>
    </w:p>
    <w:p>
      <w:r>
        <w:t>Whether the allegations in the Brackley claim fall within the insuring agreement of the policy, and if so, whether any of the policy's exclusions — most pertinently the professional services exclusion and the known-loss provision — operate to bar or limit coverage.</w:t>
      </w:r>
    </w:p>
    <w:p>
      <w:pPr>
        <w:pStyle w:val="Heading2"/>
      </w:pPr>
      <w:r>
        <w:t>II. Short Answer</w:t>
      </w:r>
    </w:p>
    <w:p>
      <w:r>
        <w:t>The claim is likely covered under the insuring agreement as a claim for damages arising from a wrongful act in the rendering of professional services. Coverage is not free from doubt, however, because certain allegations sound in intentional conduct, which — if established — would trigger the intentional-acts exclusion. I recommend a reservation of rights be issued preserving Cotswold's position on that exclusion while it continues to defend under the policy. I am not sure the insured's argument that the exclusion requires a final adjudication of intent survives contact; most courts in the relevant jurisdiction look to the allegations as pled, not to the ultimate finding, in assessing the duty to defend at this stage.</w:t>
      </w:r>
    </w:p>
    <w:p>
      <w:pPr>
        <w:pStyle w:val="Heading2"/>
      </w:pPr>
      <w:r>
        <w:t>III. Facts Considered</w:t>
      </w:r>
    </w:p>
    <w:p>
      <w:r>
        <w:t>This opinion rests on the claim materials, correspondence, and policy documents provided by Cotswold Mutual to date. I have not independently verified the underlying factual allegations, and this opinion should be revisited if the factual record materially changes as the underlying matter proceeds.</w:t>
      </w:r>
    </w:p>
    <w:p>
      <w:pPr>
        <w:pStyle w:val="Heading2"/>
      </w:pPr>
      <w:r>
        <w:t>IV. Analysis</w:t>
      </w:r>
    </w:p>
    <w:p>
      <w:pPr>
        <w:pStyle w:val="Heading3"/>
      </w:pPr>
      <w:r>
        <w:t>A. The Insuring Agreement</w:t>
      </w:r>
    </w:p>
    <w:p>
      <w:r>
        <w:t>The policy's insuring agreement obligates Cotswold to pay damages the insured becomes legally obligated to pay because of a wrongful act, and to defend any claim seeking such damages, even if the allegations are groundless, false, or fraudulent. The Brackley claim, as framed in the complaint, alleges a wrongful act within the scope of the insured's professional services. On the face of the pleading, the duty to defend is triggered.</w:t>
      </w:r>
    </w:p>
    <w:p>
      <w:pPr>
        <w:pStyle w:val="Heading3"/>
      </w:pPr>
      <w:r>
        <w:t>B. The Intentional-Acts Exclusion</w:t>
      </w:r>
    </w:p>
    <w:p>
      <w:r>
        <w:t>The policy excludes damages arising from a dishonest, fraudulent, criminal, or intentionally wrongful act. Several paragraphs of the Brackley complaint allege that the insured acted knowingly rather than negligently. The exclusion is properly read to apply only where intent is established — whether by judgment, plea, or unambiguous admission — and not merely alleged. Until that occurs, the exclusion does not relieve Cotswold of the duty to defend, though it may ultimately limit the duty to indemnify depending on how the underlying matter resolves.</w:t>
      </w:r>
    </w:p>
    <w:p>
      <w:pPr>
        <w:pStyle w:val="Heading3"/>
      </w:pPr>
      <w:r>
        <w:t>C. The Known-Loss Provision</w:t>
      </w:r>
    </w:p>
    <w:p>
      <w:r>
        <w:t>The policy bars coverage for losses of which the insured had knowledge prior to the policy's inception. Nothing in the current record suggests the insured had pre-inception knowledge of circumstances likely to give rise to the Brackley claim. This provision does not appear to bar coverage on the facts as presented, but the point should be tested in discovery. I recommend that document requests directed at the insured's internal communications predating the policy period be propounded promptly, rather than reserved for a later phase of discovery, so that the reserve figure now under review can be set with the benefit of that record rather than revised again shortly afterward.</w:t>
      </w:r>
    </w:p>
    <w:p>
      <w:pPr>
        <w:pStyle w:val="Heading2"/>
      </w:pPr>
      <w:r>
        <w:t>V. Recommendation</w:t>
      </w:r>
    </w:p>
    <w:p>
      <w:pPr>
        <w:pStyle w:val="ListNumber"/>
      </w:pPr>
      <w:r>
        <w:t>Defend the Brackley claim under the policy, subject to a full reservation of rights.</w:t>
      </w:r>
    </w:p>
    <w:p>
      <w:pPr>
        <w:pStyle w:val="ListNumber"/>
      </w:pPr>
      <w:r>
        <w:t>Issue a reservation-of-rights letter identifying the intentional-acts exclusion and the known-loss provision as bases upon which coverage may later be denied or limited, without waiving Cotswold's right to assert other defenses that become apparent.</w:t>
      </w:r>
    </w:p>
    <w:p>
      <w:pPr>
        <w:pStyle w:val="ListNumber"/>
      </w:pPr>
      <w:r>
        <w:t>Propound document requests directed at the insured's pre-inception internal communications now, in advance of the pending reserve review, rather than treating that discovery as a later-phase matter.</w:t>
      </w:r>
    </w:p>
    <w:p>
      <w:pPr>
        <w:pStyle w:val="ListNumber"/>
      </w:pPr>
      <w:r>
        <w:t>Monitor the underlying pleadings and any dispositive motions for developments bearing on intent, as those developments will materially affect the indemnity analysis.</w:t>
      </w:r>
    </w:p>
    <w:p>
      <w:pPr>
        <w:pStyle w:val="ListNumber"/>
      </w:pPr>
      <w:r>
        <w:t>Revisit this opinion in connection with the current professional liability reserve review, and again once the underlying matter reaches summary judgment or trial, or sooner if the factual record changes materially.</w:t>
      </w:r>
    </w:p>
    <w:p>
      <w:pPr>
        <w:pStyle w:val="Heading2"/>
      </w:pPr>
      <w:r>
        <w:t>VI. Rationale Note (Captured for the Reserve Review Record)</w:t>
      </w:r>
    </w:p>
    <w:p>
      <w:r>
        <w:t>This memorandum was finalized and delivered to Mr. Achebe in response to Cotswold's chase on the pending professional liability reserve review; no further transmittal is required. The conclusion above — that the claim is likely covered under the insuring agreement, subject to a reservation of rights on the intentional-acts and known-loss provisions — rests on three determinations: (1) the Brackley complaint, as pled, alleges a wrongful act within the scope of the insured's professional services, which is sufficient to trigger the duty to defend under the insuring agreement's language; (2) the intentional-acts exclusion cannot presently bar coverage because, under the governing standard in the relevant jurisdiction, intent must be established by judgment, plea, or unambiguous admission rather than by allegation alone, and the duty to defend is assessed on the pleadings as framed; and (3) the known-loss provision does not bar coverage on the current record because nothing available shows pre-inception knowledge by the insured, though that determination is provisional pending the pre-inception discovery recommended above. This rationale should be read together with, and is not superseded by, Cotswold's ongoing reserve review, and should be revisited if that review or subsequent discovery alters any of the three determinations.</w:t>
      </w:r>
    </w:p>
    <w:p>
      <w:r>
        <w:t>This opinion is provided solely for Cotswold Mutual's internal use in connection with the Brackley claim and may not be relied upon by any other party without the firm's prior written consent.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