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Cotswold Mutual Insurance Company — Claims Department</w:t>
            </w:r>
          </w:p>
        </w:tc>
      </w:tr>
      <w:tr>
        <w:tc>
          <w:tcPr>
            <w:tcW w:type="dxa" w:w="4320"/>
          </w:tcPr>
          <w:p>
            <w:r>
              <w:t>From</w:t>
            </w:r>
          </w:p>
        </w:tc>
        <w:tc>
          <w:tcPr>
            <w:tcW w:type="dxa" w:w="4320"/>
          </w:tcPr>
          <w:p>
            <w:r>
              <w:t>Cecile Marchand, Partner</w:t>
            </w:r>
          </w:p>
        </w:tc>
      </w:tr>
      <w:tr>
        <w:tc>
          <w:tcPr>
            <w:tcW w:type="dxa" w:w="4320"/>
          </w:tcPr>
          <w:p>
            <w:r>
              <w:t>Re</w:t>
            </w:r>
          </w:p>
        </w:tc>
        <w:tc>
          <w:tcPr>
            <w:tcW w:type="dxa" w:w="4320"/>
          </w:tcPr>
          <w:p>
            <w:r>
              <w:t>Coverage Opinion — Brackley Claim (Policy No. to be confirmed)</w:t>
            </w:r>
          </w:p>
        </w:tc>
      </w:tr>
      <w:tr>
        <w:tc>
          <w:tcPr>
            <w:tcW w:type="dxa" w:w="4320"/>
          </w:tcPr>
          <w:p>
            <w:r>
              <w:t>Status</w:t>
            </w:r>
          </w:p>
        </w:tc>
        <w:tc>
          <w:tcPr>
            <w:tcW w:type="dxa" w:w="4320"/>
          </w:tcPr>
          <w:p>
            <w:r>
              <w:t>Draft for internal review; not for distribution to insured or claimant. NOT READY TO ISSUE — see Section V; Open Item 2 has been resolved as of this review (underlying complaint now obtained and reviewed); Open Items 1, 3, 4, and 5 remain unresolved.</w:t>
            </w:r>
          </w:p>
        </w:tc>
      </w:tr>
    </w:tbl>
    <w:p>
      <w:pPr>
        <w:pStyle w:val="Heading2"/>
      </w:pPr>
      <w:r>
        <w:t>I. Purpose and Scope</w:t>
      </w:r>
    </w:p>
    <w:p>
      <w:r>
        <w:t>You have asked us to advise Cotswold Mutual Insurance Company ("Cotswold" or the "Company") on the extent, if any, of its obligations to defend and indemnify its insured in connection with the claim asserted by Brackley (the "Brackley Claim"). This memorandum sets out our preliminary analysis based on the materials made available to us to date, and identifies the additional facts and documents we require before we can render a final opinion suitable for issuance as a reservation-of-rights or coverage-denial letter.</w:t>
      </w:r>
    </w:p>
    <w:p>
      <w:r>
        <w:t>This is a working draft. It is not the coverage opinion letter itself; any final opinion communicated to the insured or relied upon for claims-handling purposes must be issued separately, in final form, once the open items below are resolved. As of this review, the underlying complaint has been produced to this office and reviewed (see Section II and Open Item 2, below), but the remaining open items have not been closed out; the analysis below should be read as preliminary and qualified accordingly.</w:t>
      </w:r>
    </w:p>
    <w:p>
      <w:pPr>
        <w:pStyle w:val="Heading2"/>
      </w:pPr>
      <w:r>
        <w:t>II. Materials Reviewed</w:t>
      </w:r>
    </w:p>
    <w:p>
      <w:pPr>
        <w:pStyle w:val="ListNumber"/>
      </w:pPr>
      <w:r>
        <w:t>The underlying complaint as filed, now produced to and reviewed by this office (superseding the summary previously relied upon)</w:t>
      </w:r>
    </w:p>
    <w:p>
      <w:pPr>
        <w:pStyle w:val="ListNumber"/>
      </w:pPr>
      <w:r>
        <w:t>Claims notes and correspondence referenced in intake discussions</w:t>
      </w:r>
    </w:p>
    <w:p>
      <w:pPr>
        <w:pStyle w:val="ListNumber"/>
      </w:pPr>
      <w:r>
        <w:t>General policy form language as customarily issued by Cotswold for this line of business, pending confirmation of the specific policy period and endorsements applicable to this insured</w:t>
      </w:r>
    </w:p>
    <w:p>
      <w:pPr>
        <w:pStyle w:val="Heading2"/>
      </w:pPr>
      <w:r>
        <w:t>III. Preliminary Issues Presented</w:t>
      </w:r>
    </w:p>
    <w:p>
      <w:pPr>
        <w:pStyle w:val="ListNumber"/>
      </w:pPr>
      <w:r>
        <w:t>Whether the conduct alleged in the Brackley Claim falls within the insuring agreement in the first instance.</w:t>
      </w:r>
    </w:p>
    <w:p>
      <w:pPr>
        <w:pStyle w:val="ListNumber"/>
      </w:pPr>
      <w:r>
        <w:t>Whether any exclusion — most likely a known-loss, prior-acts, or intentional-conduct exclusion, depending on the final policy language — operates to bar or limit coverage.</w:t>
      </w:r>
    </w:p>
    <w:p>
      <w:pPr>
        <w:pStyle w:val="ListNumber"/>
      </w:pPr>
      <w:r>
        <w:t>Whether notice was timely given under the policy's notice provisions, and if not, whether late notice prejudiced Cotswold in a manner that affects coverage under the applicable state's law.</w:t>
      </w:r>
    </w:p>
    <w:p>
      <w:pPr>
        <w:pStyle w:val="ListNumber"/>
      </w:pPr>
      <w:r>
        <w:t>Whether a reservation of rights, rather than an outright denial, is the appropriate vehicle pending further factual development.</w:t>
      </w:r>
    </w:p>
    <w:p>
      <w:pPr>
        <w:pStyle w:val="Heading2"/>
      </w:pPr>
      <w:r>
        <w:t>IV. Preliminary Analysis</w:t>
      </w:r>
    </w:p>
    <w:p>
      <w:r>
        <w:t>On the record currently before us, we are not yet in a position to reach a final view on the insuring-agreement question. The characterization of the underlying conduct in the demand was general enough that it could plausibly have been read either inside or outside the grant of coverage; with the complaint itself now in hand, we have confirmed that its factual allegations are consistent in material respects with the demand letter's framing, which narrows but does not close the gap flagged below. I am not sure this survives contact if further factual development produces allegations materially different from the complaint as filed; I would rather qualify the opinion now than have it need withdrawal later.</w:t>
      </w:r>
    </w:p>
    <w:p>
      <w:r>
        <w:t>As to notice, the timeline recited to us suggests the claim was reported to Cotswold within a period that is plausibly timely, but we have not yet confirmed the date of first knowledge by the insured against the policy's specific notice trigger. Claims-made-and-reported and occurrence-based notice provisions produce materially different analyses, and we do not yet know which form governs this policy period. This remains the single largest open item bearing on whether a full reservation of rights is warranted or whether notice is a non-issue that need not be flagged at all; it should not be treated as resolved until the policy form is confirmed.</w:t>
      </w:r>
    </w:p>
    <w:p>
      <w:r>
        <w:t>We flag, without yet concluding, that any exclusion analysis will turn on language we have not confirmed against the actual policy schedule issued to this insured; general form language is not a substitute for the specific endorsements in effect during the relevant policy period. This is a sourcing gap, not a substantive doubt about the framework, but it is a gap that must close before any exclusion is invoked in a denial or reservation letter.</w:t>
      </w:r>
    </w:p>
    <w:p>
      <w:pPr>
        <w:pStyle w:val="Heading2"/>
      </w:pPr>
      <w:r>
        <w:t>V. Information Required Before a Final Opinion Can Issue</w:t>
      </w:r>
    </w:p>
    <w:p>
      <w:pPr>
        <w:pStyle w:val="ListBullet"/>
      </w:pPr>
      <w:r>
        <w:t>Open Item 1 — The complete policy, including all endorsements, declarations, and the specific policy period applicable to the date of loss</w:t>
      </w:r>
    </w:p>
    <w:p>
      <w:pPr>
        <w:pStyle w:val="ListBullet"/>
      </w:pPr>
      <w:r>
        <w:t>Open Item 2 — RESOLVED: the underlying complaint has been obtained and reviewed as filed; no further action required on this item</w:t>
      </w:r>
    </w:p>
    <w:p>
      <w:pPr>
        <w:pStyle w:val="ListBullet"/>
      </w:pPr>
      <w:r>
        <w:t>Open Item 3 — The date the insured first had notice of the circumstances giving rise to the claim, and the date notice was given to Cotswold</w:t>
      </w:r>
    </w:p>
    <w:p>
      <w:pPr>
        <w:pStyle w:val="ListBullet"/>
      </w:pPr>
      <w:r>
        <w:t>Open Item 4 — Any prior claims history or known circumstances that might implicate a prior-knowledge or related-claims provision</w:t>
      </w:r>
    </w:p>
    <w:p>
      <w:pPr>
        <w:pStyle w:val="ListBullet"/>
      </w:pPr>
      <w:r>
        <w:t>Open Item 5 — Confirmation of the jurisdiction whose law governs interpretation of the policy, as notice-prejudice and exclusion doctrines vary materially by state</w:t>
      </w:r>
    </w:p>
    <w:p>
      <w:pPr>
        <w:pStyle w:val="Heading2"/>
      </w:pPr>
      <w:r>
        <w:t>VI. Recommendation</w:t>
      </w:r>
    </w:p>
    <w:p>
      <w:r>
        <w:t>We recommend that Cotswold issue a reservation-of-rights letter at this stage, preserving all positions pending receipt of the items identified in Section V, rather than a coverage position of any kind. With the underlying complaint now in hand, that letter can be drawn on a sourced basis as to the nature of the claim, but should continue to reserve fully on notice, exclusions, and choice of law pending Open Items 1, 3, 4, and 5. We will prepare that letter, and the final coverage opinion to follow it, once the complete policy file, notice dates, prior claims history, and governing-law confirmation are in hand. We would ask that these be forwarded to this office at the earliest opportunity, as the reservation-of-rights letter itself should issue promptly to avoid any argument of waiver by delay.</w:t>
      </w:r>
    </w:p>
    <w:p>
      <w:r>
        <w:t>For the 14:00 committee: this memorandum is not yet in a form that can be issued as a signed coverage opinion. Open Item 2 has been resolved; Open Items 1, 3, 4, and 5 above remain unresolved, and the notice-trigger question in particular (claims-made-and-reported versus occurrence-based) cannot be answered without the policy form itself. I recommend the committee authorize the reservation-of-rights letter described above, now informed by the complaint as filed, and direct that the complete policy file, notice dates, prior claims history, and governing-law confirmation be obtained promptly, so that the final opinion can follow on a fully sourced basis.</w:t>
      </w:r>
    </w:p>
    <w:p>
      <w:r>
        <w:t>We remain available to discuss any of the foregoing before the reservation letter is finalized.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