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Cotswold Mutual — Claims Committee Prep Notes and Next-Steps Memo</w:t>
      </w:r>
    </w:p>
    <w:p>
      <w:r>
        <w:t>The better view is that yesterday's committee prep session, though not captured contemporaneously, can be reconstructed with sufficient fidelity from morning-meeting discussion to preserve the substantive points the committee will need for follow-up. This memo restates those points, isolates the standard-of-care and causation issues flagged for further committee attention, and sets out next steps with owners. It is filed now so that nothing further is lost to verbal-only relay, consistent with the discipline applied firmwide to capturing meeting substance rather than only action items.</w:t>
      </w:r>
    </w:p>
    <w:p>
      <w:pPr>
        <w:pStyle w:val="Heading2"/>
      </w:pPr>
      <w:r>
        <w:t>I. Background and Purpose</w:t>
      </w:r>
    </w:p>
    <w:p>
      <w:r>
        <w:t>The claims committee met to review the status of the Cotswold Mutual matter in advance of the committee's scheduled decision point on reserve posture and litigation strategy. No formal prep memo was circulated before the session, and the discussion points below were relayed verbally afterward. This memo exists to close that gap and to ensure the committee has a written record before its next follow-up.</w:t>
      </w:r>
    </w:p>
    <w:p>
      <w:pPr>
        <w:pStyle w:val="Heading2"/>
      </w:pPr>
      <w:r>
        <w:t>II. Substantive Discussion Points</w:t>
      </w:r>
    </w:p>
    <w:p>
      <w:pPr>
        <w:pStyle w:val="ListNumber"/>
      </w:pPr>
      <w:r>
        <w:t>The underlying claim file shows an inconsistency in the named insured/owner designation that was raised and corrected in related docket review (owner name corrected from an earlier misrecorded form to the proper name), and the committee should be advised that this correction has already been made at the source record and does not itself bear on coverage analysis.</w:t>
      </w:r>
    </w:p>
    <w:p>
      <w:pPr>
        <w:pStyle w:val="ListNumber"/>
      </w:pPr>
      <w:r>
        <w:t>Discussion turned on whether the claims handling record supports the timeline the carrier has advanced, and whether gaps in that timeline create exposure on a bad-faith theory independent of the underlying coverage question.</w:t>
      </w:r>
    </w:p>
    <w:p>
      <w:pPr>
        <w:pStyle w:val="ListNumber"/>
      </w:pPr>
      <w:r>
        <w:t>The committee raised, but did not resolve, whether the adjuster's file documentation is sufficient to defend the standard-of-care question if put at issue — this is carried forward below as an open issue rather than resolved in the session.</w:t>
      </w:r>
    </w:p>
    <w:p>
      <w:pPr>
        <w:pStyle w:val="ListNumber"/>
      </w:pPr>
      <w:r>
        <w:t>Reserve posture was discussed at a high level only; no reserve figure was agreed and none should be treated as adopted pending the follow-up session.</w:t>
      </w:r>
    </w:p>
    <w:p>
      <w:pPr>
        <w:pStyle w:val="Heading2"/>
      </w:pPr>
      <w:r>
        <w:t>III. Standard-of-Care Issues for Committee Follow-Up</w:t>
      </w:r>
    </w:p>
    <w:p>
      <w:r>
        <w:t>The following standard-of-care questions were identified as requiring further committee input and should be placed on the follow-up agenda:</w:t>
      </w:r>
    </w:p>
    <w:p>
      <w:pPr>
        <w:pStyle w:val="ListBullet"/>
      </w:pPr>
      <w:r>
        <w:t>Whether the claims handler's investigation steps, as documented, meet the standard an insurer in this line would be expected to satisfy before denial or reservation of rights — the file as currently documented leaves this open rather than clearly answered.</w:t>
      </w:r>
    </w:p>
    <w:p>
      <w:pPr>
        <w:pStyle w:val="ListBullet"/>
      </w:pPr>
      <w:r>
        <w:t>Whether the timing of the coverage determination relative to receipt of material information is defensible, given the sequence reflected in the claim file.</w:t>
      </w:r>
    </w:p>
    <w:p>
      <w:pPr>
        <w:pStyle w:val="ListBullet"/>
      </w:pPr>
      <w:r>
        <w:t>Whether additional documentation (adjuster notes, contemporaneous correspondence) exists that would strengthen the standard-of-care position, and if not, whether that gap should inform the committee's risk assessment going into the follow-up session.</w:t>
      </w:r>
    </w:p>
    <w:p>
      <w:pPr>
        <w:pStyle w:val="Heading2"/>
      </w:pPr>
      <w:r>
        <w:t>IV. Causation Issues for Committee Follow-Up</w:t>
      </w:r>
    </w:p>
    <w:p>
      <w:pPr>
        <w:pStyle w:val="ListBullet"/>
      </w:pPr>
      <w:r>
        <w:t>Whether the loss as claimed is causally connected to the peril the policy covers, or whether an intervening or independent cause is better supported on the current record — the committee should treat this as unresolved pending further factual development.</w:t>
      </w:r>
    </w:p>
    <w:p>
      <w:pPr>
        <w:pStyle w:val="ListBullet"/>
      </w:pPr>
      <w:r>
        <w:t>Whether expert input on causation will be needed before the committee can responsibly take a position, and if so, the lead time that requires.</w:t>
      </w:r>
    </w:p>
    <w:p>
      <w:pPr>
        <w:pStyle w:val="ListBullet"/>
      </w:pPr>
      <w:r>
        <w:t>Whether the causation position taken (or not yet taken) is consistent with positions taken by the carrier in comparable prior matters, to avoid an inconsistency that could itself become an issue.</w:t>
      </w:r>
    </w:p>
    <w:p>
      <w:pPr>
        <w:pStyle w:val="Heading2"/>
      </w:pPr>
      <w:r>
        <w:t>V. Next Steps</w:t>
      </w:r>
    </w:p>
    <w:p>
      <w:pPr>
        <w:pStyle w:val="ListNumber"/>
      </w:pPr>
      <w:r>
        <w:t>Circulate this memo to the committee members who attended the session, with a request to confirm or correct the discussion points recorded in Section II within three business days.</w:t>
      </w:r>
    </w:p>
    <w:p>
      <w:pPr>
        <w:pStyle w:val="ListNumber"/>
      </w:pPr>
      <w:r>
        <w:t>Request the claim file's complete adjuster notes and correspondence file to assess the documentation gap identified in Section III.</w:t>
      </w:r>
    </w:p>
    <w:p>
      <w:pPr>
        <w:pStyle w:val="ListNumber"/>
      </w:pPr>
      <w:r>
        <w:t>Determine whether a causation expert should be retained before the committee's next scheduled session, and if so, begin that engagement promptly given lead-time constraints.</w:t>
      </w:r>
    </w:p>
    <w:p>
      <w:pPr>
        <w:pStyle w:val="ListNumber"/>
      </w:pPr>
      <w:r>
        <w:t>Schedule a follow-up committee session once the items above are addressed, with standard-of-care and causation as the two substantive agenda items, rather than folding them into a general status update.</w:t>
      </w:r>
    </w:p>
    <w:p>
      <w:pPr>
        <w:pStyle w:val="ListNumber"/>
      </w:pPr>
      <w:r>
        <w:t>Going forward, designate a note-taker for committee sessions so that substantive discussion points are captured contemporaneously rather than reconstructed after the fact.</w:t>
      </w:r>
    </w:p>
    <w:p>
      <w:pPr>
        <w:pStyle w:val="Heading2"/>
      </w:pPr>
      <w:r>
        <w:t>VI. Status</w:t>
      </w:r>
    </w:p>
    <w:p>
      <w:r>
        <w:t>This memo is a reconstruction prepared after the fact and should be treated as a working record pending confirmation by session attendees per Section V. It is not a substitute for committee minutes and should be superseded by confirmed minutes once attendees respond.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