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Reserve and Exposure Reassessment — Professional Liability Claim</w:t>
      </w:r>
    </w:p>
    <w:p>
      <w:r>
        <w:t>Prepared by: Bennett Ashworth, Partner. Distribution: Desmond (client contact); Cecile (copied). This memorandum confirms the results of a fresh reassessment of reserve adequacy and exposure for the above-referenced claim, conducted in response to Desmond's inquiry regarding whether the unchanged reserve figure reflects current analysis or a stale intake number carried forward without review.</w:t>
      </w:r>
    </w:p>
    <w:p>
      <w:pPr>
        <w:pStyle w:val="Heading2"/>
      </w:pPr>
      <w:r>
        <w:t>1. Conclusion</w:t>
      </w:r>
    </w:p>
    <w:p>
      <w:r>
        <w:t>The reserve figure is unchanged from the prior cycle. That figure is the product of a completed reassessment this cycle, not a holdover from intake. We reviewed liability, damages, and coverage posture in full and confirmed that no factor moved. Nothing in the record generated during this cycle alters the exposure analysis previously reconciled.</w:t>
      </w:r>
    </w:p>
    <w:p>
      <w:pPr>
        <w:pStyle w:val="Heading2"/>
      </w:pPr>
      <w:r>
        <w:t>2. Basis for the No-Change Determination</w:t>
      </w:r>
    </w:p>
    <w:p>
      <w:pPr>
        <w:pStyle w:val="ListNumber"/>
      </w:pPr>
      <w:r>
        <w:t>Liability posture: No new pleadings, admissions, or discovery responses this cycle bear on the underlying liability theory. See record.</w:t>
      </w:r>
    </w:p>
    <w:p>
      <w:pPr>
        <w:pStyle w:val="ListNumber"/>
      </w:pPr>
      <w:r>
        <w:t>Damages: No updated damages disclosure, expert report, or economic-loss recalculation has been served or received. The damages range set in the prior cycle stands.</w:t>
      </w:r>
    </w:p>
    <w:p>
      <w:pPr>
        <w:pStyle w:val="ListNumber"/>
      </w:pPr>
      <w:r>
        <w:t>Coverage posture: The carrier's coverage position has not changed. No reservation-of-rights letter, denial, or coverage counsel correspondence has issued since the last reconciled position.</w:t>
      </w:r>
    </w:p>
    <w:p>
      <w:pPr>
        <w:pStyle w:val="ListNumber"/>
      </w:pPr>
      <w:r>
        <w:t>Ardmore/Sandhurst close-out: Status previously recorded is retained. Nothing from this cycle's meetings changes that item.</w:t>
      </w:r>
    </w:p>
    <w:p>
      <w:pPr>
        <w:pStyle w:val="ListNumber"/>
      </w:pPr>
      <w:r>
        <w:t>Ulrich Bergmann cross-check: Status previously recorded is retained for the same reason.</w:t>
      </w:r>
    </w:p>
    <w:p>
      <w:pPr>
        <w:pStyle w:val="Heading2"/>
      </w:pPr>
      <w:r>
        <w:t>3. Why This Was Not a No-Note Update</w:t>
      </w:r>
    </w:p>
    <w:p>
      <w:r>
        <w:t>Per instruction, a reserve cycle is not permitted to close on a bare "no change" entry without an affirmative note that the position was in fact reviewed. The pre-board deck (doc-000369 revision line, doc-000378) has been revised accordingly to state explicitly that this cycle's figure was reviewed and confirmed, not defaulted. That same explicit-review language governs this memorandum.</w:t>
      </w:r>
    </w:p>
    <w:p>
      <w:pPr>
        <w:pStyle w:val="Heading2"/>
      </w:pPr>
      <w:r>
        <w:t>4. Forward Commitments</w:t>
      </w:r>
    </w:p>
    <w:p>
      <w:pPr>
        <w:pStyle w:val="ListNumber"/>
      </w:pPr>
      <w:r>
        <w:t>Future reserve updates will lead with a plain "no change" statement when that is the determination, rather than burying it in narrative.</w:t>
      </w:r>
    </w:p>
    <w:p>
      <w:pPr>
        <w:pStyle w:val="ListNumber"/>
      </w:pPr>
      <w:r>
        <w:t>Any material development — new pleading, new damages evidence, a shift in the carrier's coverage position, or a change in the Ardmore/Sandhurst or Ulrich Bergmann items — will be reported to Desmond and Cecile immediately upon our becoming aware of it, and will not wait for the next scheduled reserve cycle.</w:t>
      </w:r>
    </w:p>
    <w:p>
      <w:pPr>
        <w:pStyle w:val="ListNumber"/>
      </w:pPr>
      <w:r>
        <w:t>Bennett has assumed sign-off ownership of the related Position Statement (reassigned from Jamal) and will turn that document before end of day tomorrow.</w:t>
      </w:r>
    </w:p>
    <w:p>
      <w:pPr>
        <w:pStyle w:val="Heading2"/>
      </w:pPr>
      <w:r>
        <w:t>5. Open Items Outside This Reassessment</w:t>
      </w:r>
    </w:p>
    <w:p>
      <w:r>
        <w:t>Gideon remains unresponsive on both the Cotswold Mutual and Deshmukh items as of this writing. This does not affect the reserve conclusion above, which rests on the liability, damages, and coverage record independently of those outstanding threads, but it is flagged here so it is not lost between files.</w:t>
      </w:r>
    </w:p>
    <w:p>
      <w:pPr>
        <w:pStyle w:val="Heading2"/>
      </w:pPr>
      <w:r>
        <w:t>6. Record Basis</w:t>
      </w:r>
    </w:p>
    <w:p>
      <w:r>
        <w:t>This assessment is supported by the current claim file, the reconciled prior-cycle position, and the pre-board deck as revised. See record. No portion of this conclusion rests on unreviewed intake material.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