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Research — Additional Jurisdictions and Transfer Mechanisms</w:t>
      </w:r>
    </w:p>
    <w:p>
      <w:r>
        <w:t>This research note supports the Cross-Border Clinical Data Transfer Assessment (the "Assessment"). It supplements the preliminary findings and data-flow memos already on file by addressing jurisdictions and transfer mechanisms not yet covered: Mexico, Argentina, China, South Africa, and Israel. It is drafted as an input to the Assessment's main body and does not itself resolve any open item identified in Section 7 of the Assessment.</w:t>
      </w:r>
    </w:p>
    <w:p>
      <w:r>
        <w:t>As with the prior research threads, this note is grounded in the CTA's Section 9.2 transfer mechanism requirement and in the jurisdiction-specific statutory and regulatory text identified below. Where local counsel confirmation or a factual determination is required and is not present in the file, that gap is flagged rather than assumed.</w:t>
      </w:r>
    </w:p>
    <w:p>
      <w:pPr>
        <w:pStyle w:val="Heading2"/>
      </w:pPr>
      <w:r>
        <w:t>1. Mexico</w:t>
      </w:r>
    </w:p>
    <w:p>
      <w:r>
        <w:t>The Federal Law on Protection of Personal Data Held by Private Parties (Ley Federal de Protección de Datos Personales en Posesión de los Particulares) governs cross-border transfers of clinical trial data originating from Mexican sites. Article 36 requires that the data controller obtain the data subject's consent for international transfers unless a statutory exception applies, and Article 37 sets out exceptions including transfers necessary for the fulfillment of a legal obligation and transfers between principal and agent in specified circumstances.</w:t>
      </w:r>
    </w:p>
    <w:p>
      <w:pPr>
        <w:pStyle w:val="ListBullet"/>
      </w:pPr>
      <w:r>
        <w:t>No general adequacy regime exists comparable to the EU mechanism; transfers rely principally on informed consent obtained at enrollment plus contractual data protection clauses with the receiving party.</w:t>
      </w:r>
    </w:p>
    <w:p>
      <w:pPr>
        <w:pStyle w:val="ListBullet"/>
      </w:pPr>
      <w:r>
        <w:t>COFEPRIS (the Mexican health regulator) imposes separate recordkeeping requirements for clinical trial data that may bear on retention and access, independent of the transfer mechanism itself.</w:t>
      </w:r>
    </w:p>
    <w:p>
      <w:pPr>
        <w:pStyle w:val="ListBullet"/>
      </w:pPr>
      <w:r>
        <w:t>Open item: whether the CRO's Mexico site consent language satisfies Article 36's informed-consent standard for the specific downstream transfer contemplated in Section 6 of the Assessment has not been confirmed and requires local counsel review of the site consent form.</w:t>
      </w:r>
    </w:p>
    <w:p>
      <w:pPr>
        <w:pStyle w:val="Heading2"/>
      </w:pPr>
      <w:r>
        <w:t>2. Argentina</w:t>
      </w:r>
    </w:p>
    <w:p>
      <w:r>
        <w:t>Argentina's Personal Data Protection Law No. 25,326 restricts international transfers of personal data to countries or organizations that do not provide adequate levels of protection, subject to enumerated exceptions in Article 12. Argentina has been recognized by the European Commission as providing an adequate level of protection under the (pre-GDPR) Directive 95/46/EC adequacy findings, a status the European Commission has not withdrawn.</w:t>
      </w:r>
    </w:p>
    <w:p>
      <w:pPr>
        <w:pStyle w:val="ListBullet"/>
      </w:pPr>
      <w:r>
        <w:t>Because Argentina is an adequacy-listed jurisdiction from the EU's perspective, transfers of data originating in the EU and routed through Argentina do not independently require Standard Contractual Clauses for that leg; the analysis under Section 3's EU-origin data flows should be read together with this point.</w:t>
      </w:r>
    </w:p>
    <w:p>
      <w:pPr>
        <w:pStyle w:val="ListBullet"/>
      </w:pPr>
      <w:r>
        <w:t>Transfers from Argentina outward remain subject to Article 12's own adequacy/exception framework, which is a separate analysis from the EU's adequacy finding about Argentina.</w:t>
      </w:r>
    </w:p>
    <w:p>
      <w:pPr>
        <w:pStyle w:val="ListBullet"/>
      </w:pPr>
      <w:r>
        <w:t>No open items identified in the statutory text itself; confirmation of the CRO's Argentina data-transfer agreement terms against Article 12's exceptions is a contract-review task, not a research gap.</w:t>
      </w:r>
    </w:p>
    <w:p>
      <w:pPr>
        <w:pStyle w:val="Heading2"/>
      </w:pPr>
      <w:r>
        <w:t>3. China</w:t>
      </w:r>
    </w:p>
    <w:p>
      <w:r>
        <w:t>The Personal Information Protection Law (PIPL, effective November 2021) and the Data Security Law govern cross-border transfer of clinical data collected at China-based sites. PIPL Article 38 requires that a cross-border transfer rest on one of: (a) a security assessment by the Cyberspace Administration of China (CAC), (b) certification by a CAC-recognized body, (c) execution of CAC standard contractual clauses, or (d) another mechanism prescribed by law or international treaty.</w:t>
      </w:r>
    </w:p>
    <w:p>
      <w:pPr>
        <w:pStyle w:val="ListBullet"/>
      </w:pPr>
      <w:r>
        <w:t>The Measures for the Security Assessment of Outbound Data Transfers set a mandatory CAC security assessment threshold for transfers involving personal information of more than a specified volume of individuals or involving "important data"; clinical trial data sets frequently meet the important-data threshold given health-data sensitivity classifications under the Data Security Law's implementing catalogs.</w:t>
      </w:r>
    </w:p>
    <w:p>
      <w:pPr>
        <w:pStyle w:val="ListBullet"/>
      </w:pPr>
      <w:r>
        <w:t>Human genetic resource data is separately regulated under the Regulation on the Administration of Human Genetic Resources, administered by the Ministry of Science and Technology, and requires its own approval for export or foreign collaborative use, independent of the PIPL transfer mechanism.</w:t>
      </w:r>
    </w:p>
    <w:p>
      <w:pPr>
        <w:pStyle w:val="ListBullet"/>
      </w:pPr>
      <w:r>
        <w:t>Open item: the Assessment file does not identify whether the China site data includes genetic material subject to the human genetic resources regime; this is a factual question for the site protocol, not resolvable from the transfer mechanism research alone, and should be added to Section 7's open items list.</w:t>
      </w:r>
    </w:p>
    <w:p>
      <w:pPr>
        <w:pStyle w:val="ListBullet"/>
      </w:pPr>
      <w:r>
        <w:t>Open item: no confirmation in the file of which Article 38 mechanism (CAC assessment, certification, or standard contract) the CRO has adopted for the China site; this should be requested directly rather than assumed.</w:t>
      </w:r>
    </w:p>
    <w:p>
      <w:pPr>
        <w:pStyle w:val="Heading2"/>
      </w:pPr>
      <w:r>
        <w:t>4. South Africa</w:t>
      </w:r>
    </w:p>
    <w:p>
      <w:r>
        <w:t>The Protection of Personal Information Act, 2013 (POPIA) Section 72 permits cross-border transfer of personal information where the recipient is subject to a law, binding corporate rules, or an agreement that upholds principles substantially similar to POPIA's conditions for lawful processing, or where the data subject consents, or where the transfer is necessary for the performance of a contract.</w:t>
      </w:r>
    </w:p>
    <w:p>
      <w:pPr>
        <w:pStyle w:val="ListBullet"/>
      </w:pPr>
      <w:r>
        <w:t>POPIA does not maintain a formal adequacy "whitelist"; the substantial-similarity standard in Section 72(1)(a) is assessed transfer-by-transfer, typically through contractual undertakings mirroring POPIA's conditions.</w:t>
      </w:r>
    </w:p>
    <w:p>
      <w:pPr>
        <w:pStyle w:val="ListBullet"/>
      </w:pPr>
      <w:r>
        <w:t>Health research data is additionally subject to the National Health Act's research ethics committee approval requirements, which commonly impose their own data-handling conditions as part of trial approval — these operate alongside, not in substitution for, the POPIA transfer analysis.</w:t>
      </w:r>
    </w:p>
    <w:p>
      <w:pPr>
        <w:pStyle w:val="ListBullet"/>
      </w:pPr>
      <w:r>
        <w:t>No open items identified beyond standard confirmation that the CRO's data processing agreement contains POPIA-equivalent undertakings; this is a document-review task against the existing agreement, not a research gap.</w:t>
      </w:r>
    </w:p>
    <w:p>
      <w:pPr>
        <w:pStyle w:val="Heading2"/>
      </w:pPr>
      <w:r>
        <w:t>5. Israel</w:t>
      </w:r>
    </w:p>
    <w:p>
      <w:r>
        <w:t>The Protection of Privacy Law, 1981 and the Protection of Privacy Regulations (Transfer of Data to Databases Outside Israel), 2001 govern outbound transfer of personal data, including health data, from Israel. Regulation 2 permits transfer where the receiving country's law provides a level of protection no less than that provided under Israeli law, or under enumerated alternative bases including the recipient's contractual undertaking to comply with Israeli law's data protection conditions.</w:t>
      </w:r>
    </w:p>
    <w:p>
      <w:pPr>
        <w:pStyle w:val="ListBullet"/>
      </w:pPr>
      <w:r>
        <w:t>The Israeli Privacy Protection Authority has issued guidance recognizing the EU as providing an adequate level of protection for purposes of Regulation 2; this is relevant if the downstream recipient discussed in Section 6 is itself EU-based, but does not on its own resolve a direct Israel-to-non-EU transfer.</w:t>
      </w:r>
    </w:p>
    <w:p>
      <w:pPr>
        <w:pStyle w:val="ListBullet"/>
      </w:pPr>
      <w:r>
        <w:t>Health data collected in clinical trials is separately subject to Israeli Ministry of Health regulations on clinical trials (Public Health Regulations (Clinical Trials in Human Subjects), 1980), which impose site-level data handling conditions independent of Regulation 2's cross-border transfer analysis.</w:t>
      </w:r>
    </w:p>
    <w:p>
      <w:pPr>
        <w:pStyle w:val="ListBullet"/>
      </w:pPr>
      <w:r>
        <w:t>Open item: confirmation of the specific contractual undertaking used for the Israel site's transfer to the CRO's central data repository is not present in the file and should be requested before this jurisdiction can be closed out.</w:t>
      </w:r>
    </w:p>
    <w:p>
      <w:pPr>
        <w:pStyle w:val="Heading2"/>
      </w:pPr>
      <w:r>
        <w:t>6. Summary table — transfer mechanism status by jurisdiction</w:t>
      </w:r>
    </w:p>
    <w:tbl>
      <w:tblPr>
        <w:tblW w:type="auto" w:w="0"/>
        <w:tblLook w:firstColumn="1" w:firstRow="1" w:lastColumn="0" w:lastRow="0" w:noHBand="0" w:noVBand="1" w:val="04A0"/>
      </w:tblPr>
      <w:tblGrid>
        <w:gridCol w:w="2160"/>
        <w:gridCol w:w="2160"/>
        <w:gridCol w:w="2160"/>
        <w:gridCol w:w="2160"/>
      </w:tblGrid>
      <w:tr>
        <w:tc>
          <w:tcPr>
            <w:tcW w:type="dxa" w:w="2160"/>
          </w:tcPr>
          <w:p>
            <w:r>
              <w:t>Jurisdiction</w:t>
            </w:r>
          </w:p>
        </w:tc>
        <w:tc>
          <w:tcPr>
            <w:tcW w:type="dxa" w:w="2160"/>
          </w:tcPr>
          <w:p>
            <w:r>
              <w:t>Primary statute</w:t>
            </w:r>
          </w:p>
        </w:tc>
        <w:tc>
          <w:tcPr>
            <w:tcW w:type="dxa" w:w="2160"/>
          </w:tcPr>
          <w:p>
            <w:r>
              <w:t>Mechanism relied on</w:t>
            </w:r>
          </w:p>
        </w:tc>
        <w:tc>
          <w:tcPr>
            <w:tcW w:type="dxa" w:w="2160"/>
          </w:tcPr>
          <w:p>
            <w:r>
              <w:t>Status</w:t>
            </w:r>
          </w:p>
        </w:tc>
      </w:tr>
      <w:tr>
        <w:tc>
          <w:tcPr>
            <w:tcW w:type="dxa" w:w="2160"/>
          </w:tcPr>
          <w:p>
            <w:r>
              <w:t>Mexico</w:t>
            </w:r>
          </w:p>
        </w:tc>
        <w:tc>
          <w:tcPr>
            <w:tcW w:type="dxa" w:w="2160"/>
          </w:tcPr>
          <w:p>
            <w:r>
              <w:t>Ley Federal de Protección de Datos Personales</w:t>
            </w:r>
          </w:p>
        </w:tc>
        <w:tc>
          <w:tcPr>
            <w:tcW w:type="dxa" w:w="2160"/>
          </w:tcPr>
          <w:p>
            <w:r>
              <w:t>Consent + contractual clauses</w:t>
            </w:r>
          </w:p>
        </w:tc>
        <w:tc>
          <w:tcPr>
            <w:tcW w:type="dxa" w:w="2160"/>
          </w:tcPr>
          <w:p>
            <w:r>
              <w:t>Consent language not yet confirmed against Art. 36</w:t>
            </w:r>
          </w:p>
        </w:tc>
      </w:tr>
      <w:tr>
        <w:tc>
          <w:tcPr>
            <w:tcW w:type="dxa" w:w="2160"/>
          </w:tcPr>
          <w:p>
            <w:r>
              <w:t>Argentina</w:t>
            </w:r>
          </w:p>
        </w:tc>
        <w:tc>
          <w:tcPr>
            <w:tcW w:type="dxa" w:w="2160"/>
          </w:tcPr>
          <w:p>
            <w:r>
              <w:t>Law No. 25,326</w:t>
            </w:r>
          </w:p>
        </w:tc>
        <w:tc>
          <w:tcPr>
            <w:tcW w:type="dxa" w:w="2160"/>
          </w:tcPr>
          <w:p>
            <w:r>
              <w:t>EU adequacy finding (inbound); Art. 12 exceptions (outbound)</w:t>
            </w:r>
          </w:p>
        </w:tc>
        <w:tc>
          <w:tcPr>
            <w:tcW w:type="dxa" w:w="2160"/>
          </w:tcPr>
          <w:p>
            <w:r>
              <w:t>No open item on statute; contract review pending</w:t>
            </w:r>
          </w:p>
        </w:tc>
      </w:tr>
      <w:tr>
        <w:tc>
          <w:tcPr>
            <w:tcW w:type="dxa" w:w="2160"/>
          </w:tcPr>
          <w:p>
            <w:r>
              <w:t>China</w:t>
            </w:r>
          </w:p>
        </w:tc>
        <w:tc>
          <w:tcPr>
            <w:tcW w:type="dxa" w:w="2160"/>
          </w:tcPr>
          <w:p>
            <w:r>
              <w:t>PIPL / Data Security Law</w:t>
            </w:r>
          </w:p>
        </w:tc>
        <w:tc>
          <w:tcPr>
            <w:tcW w:type="dxa" w:w="2160"/>
          </w:tcPr>
          <w:p>
            <w:r>
              <w:t>Art. 38 mechanism — not yet identified</w:t>
            </w:r>
          </w:p>
        </w:tc>
        <w:tc>
          <w:tcPr>
            <w:tcW w:type="dxa" w:w="2160"/>
          </w:tcPr>
          <w:p>
            <w:r>
              <w:t>Open: mechanism unconfirmed; genetic-data scope unconfirmed</w:t>
            </w:r>
          </w:p>
        </w:tc>
      </w:tr>
      <w:tr>
        <w:tc>
          <w:tcPr>
            <w:tcW w:type="dxa" w:w="2160"/>
          </w:tcPr>
          <w:p>
            <w:r>
              <w:t>South Africa</w:t>
            </w:r>
          </w:p>
        </w:tc>
        <w:tc>
          <w:tcPr>
            <w:tcW w:type="dxa" w:w="2160"/>
          </w:tcPr>
          <w:p>
            <w:r>
              <w:t>POPIA s.72</w:t>
            </w:r>
          </w:p>
        </w:tc>
        <w:tc>
          <w:tcPr>
            <w:tcW w:type="dxa" w:w="2160"/>
          </w:tcPr>
          <w:p>
            <w:r>
              <w:t>Contractual substantial-similarity undertaking</w:t>
            </w:r>
          </w:p>
        </w:tc>
        <w:tc>
          <w:tcPr>
            <w:tcW w:type="dxa" w:w="2160"/>
          </w:tcPr>
          <w:p>
            <w:r>
              <w:t>Open: DPA text not yet checked against s.72(1)(a)</w:t>
            </w:r>
          </w:p>
        </w:tc>
      </w:tr>
      <w:tr>
        <w:tc>
          <w:tcPr>
            <w:tcW w:type="dxa" w:w="2160"/>
          </w:tcPr>
          <w:p>
            <w:r>
              <w:t>Israel</w:t>
            </w:r>
          </w:p>
        </w:tc>
        <w:tc>
          <w:tcPr>
            <w:tcW w:type="dxa" w:w="2160"/>
          </w:tcPr>
          <w:p>
            <w:r>
              <w:t>Protection of Privacy Regulations, 2001, Reg. 2</w:t>
            </w:r>
          </w:p>
        </w:tc>
        <w:tc>
          <w:tcPr>
            <w:tcW w:type="dxa" w:w="2160"/>
          </w:tcPr>
          <w:p>
            <w:r>
              <w:t>Contractual undertaking (Reg. 2(2))</w:t>
            </w:r>
          </w:p>
        </w:tc>
        <w:tc>
          <w:tcPr>
            <w:tcW w:type="dxa" w:w="2160"/>
          </w:tcPr>
          <w:p>
            <w:r>
              <w:t>Open: specific undertaking not identified in file</w:t>
            </w:r>
          </w:p>
        </w:tc>
      </w:tr>
    </w:tbl>
    <w:p>
      <w:pPr>
        <w:pStyle w:val="Heading2"/>
      </w:pPr>
      <w:r>
        <w:t>7. Items to carry forward to the Assessment's Section 7 (open items)</w:t>
      </w:r>
    </w:p>
    <w:p>
      <w:pPr>
        <w:pStyle w:val="ListNumber"/>
      </w:pPr>
      <w:r>
        <w:t>Confirm Mexico site consent form language against LFPDPPP Article 36 (local counsel).</w:t>
      </w:r>
    </w:p>
    <w:p>
      <w:pPr>
        <w:pStyle w:val="ListNumber"/>
      </w:pPr>
      <w:r>
        <w:t>Determine whether China site data falls within the human genetic resources regime and, if so, identify the required export approval.</w:t>
      </w:r>
    </w:p>
    <w:p>
      <w:pPr>
        <w:pStyle w:val="ListNumber"/>
      </w:pPr>
      <w:r>
        <w:t>Confirm which PIPL Article 38 cross-border mechanism the CRO has adopted for the China site.</w:t>
      </w:r>
    </w:p>
    <w:p>
      <w:pPr>
        <w:pStyle w:val="ListNumber"/>
      </w:pPr>
      <w:r>
        <w:t>Confirm South Africa CRO data processing agreement contains POPIA Section 72(1)(a)-equivalent undertakings.</w:t>
      </w:r>
    </w:p>
    <w:p>
      <w:pPr>
        <w:pStyle w:val="ListNumber"/>
      </w:pPr>
      <w:r>
        <w:t>Identify and confirm the specific contractual undertaking governing the Israel site's transfer under Regulation 2(2).</w:t>
      </w:r>
    </w:p>
    <w:p>
      <w:r>
        <w:t>No factual basis exists in the file to resolve any of the five items above; they are flagged for the same reason the Section 7 open items in doc-000388 were flagged rather than closed. This note does not alter or remove any content in the existing preliminary findings or data-flow memos.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