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Priyanka Deshmukh</w:t>
            </w:r>
          </w:p>
        </w:tc>
      </w:tr>
      <w:tr>
        <w:tc>
          <w:tcPr>
            <w:tcW w:type="dxa" w:w="4320"/>
          </w:tcPr>
          <w:p>
            <w:r>
              <w:t>From</w:t>
            </w:r>
          </w:p>
        </w:tc>
        <w:tc>
          <w:tcPr>
            <w:tcW w:type="dxa" w:w="4320"/>
          </w:tcPr>
          <w:p>
            <w:r>
              <w:t>Klara Bendtsen, Senior Associate, IP &amp; Technology</w:t>
            </w:r>
          </w:p>
        </w:tc>
      </w:tr>
      <w:tr>
        <w:tc>
          <w:tcPr>
            <w:tcW w:type="dxa" w:w="4320"/>
          </w:tcPr>
          <w:p>
            <w:r>
              <w:t>Re</w:t>
            </w:r>
          </w:p>
        </w:tc>
        <w:tc>
          <w:tcPr>
            <w:tcW w:type="dxa" w:w="4320"/>
          </w:tcPr>
          <w:p>
            <w:r>
              <w:t>Trade-secret preservation position — control-loop IP walkout matter</w:t>
            </w:r>
          </w:p>
        </w:tc>
      </w:tr>
      <w:tr>
        <w:tc>
          <w:tcPr>
            <w:tcW w:type="dxa" w:w="4320"/>
          </w:tcPr>
          <w:p>
            <w:r>
              <w:t>Status</w:t>
            </w:r>
          </w:p>
        </w:tc>
        <w:tc>
          <w:tcPr>
            <w:tcW w:type="dxa" w:w="4320"/>
          </w:tcPr>
          <w:p>
            <w:r>
              <w:t>Draft for review — not for external distribution</w:t>
            </w:r>
          </w:p>
        </w:tc>
      </w:tr>
    </w:tbl>
    <w:p>
      <w:pPr>
        <w:pStyle w:val="Heading2"/>
      </w:pPr>
      <w:r>
        <w:t>1. Purpose and Scope</w:t>
      </w:r>
    </w:p>
    <w:p>
      <w:r>
        <w:t>This memorandum addresses the trade-secret preservation strategy for the control-loop walkout matter solely from the standpoint of a discrete risk that has been flagged during the current review: the interaction between our proposed trade-secret preservation posture (including any cease-and-desist letter or injunction application) and a separate, ongoing patent-filing coordination question involving the same control-loop technology. It does not assess the underlying trade-secret misappropriation claim, the strength of our evidence of unauthorized taking or use, or the merits of any injunctive relief. That substantive assessment sits with Gideon Park and is outside the scope of this memo and outside my role on this matter.</w:t>
      </w:r>
    </w:p>
    <w:p>
      <w:r>
        <w:t>The purpose here is narrow and procedural: to flag a collision risk between two possible protection strategies for the same technology, and to identify what factual confirmation is needed before either strategy proceeds further.</w:t>
      </w:r>
    </w:p>
    <w:p>
      <w:pPr>
        <w:pStyle w:val="Heading2"/>
      </w:pPr>
      <w:r>
        <w:t>2. The Flagged Issue</w:t>
      </w:r>
    </w:p>
    <w:p>
      <w:r>
        <w:t>A patent-filing coordination question has been raised in connection with the control-loop technology at issue in the walkout matter. If a patent application covering the control-loop methods or architecture has been filed, or is pending or contemplated, that fact is in material tension with a trade-secret protection strategy for the same subject matter. The two protection regimes are not interchangeable and pursuing both simultaneously without coordination creates real exposure.</w:t>
      </w:r>
    </w:p>
    <w:p>
      <w:pPr>
        <w:pStyle w:val="ListNumber"/>
      </w:pPr>
      <w:r>
        <w:t>A pending or filed patent application will, on publication, disclose the claimed subject matter. Anything disclosed ceases to qualify as a trade secret from the point of disclosure forward, and depending on filing history may undermine a claim that the information was maintained in secrecy up to the alleged misappropriation.</w:t>
      </w:r>
    </w:p>
    <w:p>
      <w:pPr>
        <w:pStyle w:val="ListNumber"/>
      </w:pPr>
      <w:r>
        <w:t>A patent application is itself an admission of what the applicant regards as novel and non-obvious, and may describe the technology in terms that conflict with, or are broader or narrower than, the trade-secret characterization we would use in a cease-and-desist letter or injunction application.</w:t>
      </w:r>
    </w:p>
    <w:p>
      <w:pPr>
        <w:pStyle w:val="ListNumber"/>
      </w:pPr>
      <w:r>
        <w:t>If a patent application was filed before the walkout, opposing counsel may argue the information was never secret in the relevant sense, or that any trade-secret claim is duplicative of, or preempted in part by, the patent strategy.</w:t>
      </w:r>
    </w:p>
    <w:p>
      <w:pPr>
        <w:pStyle w:val="ListNumber"/>
      </w:pPr>
      <w:r>
        <w:t>Timing matters independently of substance: if the patent application names or was prepared with input from the departing individual, that raises its own inventorship and assignment questions that are separate from, but adjacent to, the trade-secret question.</w:t>
      </w:r>
    </w:p>
    <w:p>
      <w:r>
        <w:t>careful here — if a C&amp;D letter or injunction filing describes the control-loop technology in different terms than a pending patent application covering the same technology, we create an inconsistency in the public record that opposing counsel will use against either or both positions. This needs to be checked before anything goes out.</w:t>
      </w:r>
    </w:p>
    <w:p>
      <w:pPr>
        <w:pStyle w:val="Heading2"/>
      </w:pPr>
      <w:r>
        <w:t>3. What Has Been Done</w:t>
      </w:r>
    </w:p>
    <w:p>
      <w:r>
        <w:t>I flagged this collision risk directly to Priyanka Deshmukh and asked her to confirm the filing status of any control-loop patent application — whether one has been filed, is pending, or is contemplated, and if so, on what timeline relative to the walkout — so that I can check for a collision with the trade-secret posture. I asked for that confirmation on an expedited basis, targeting a same-day or next-day turnaround given the time-sensitivity of any preservation or C&amp;D steps under consideration.</w:t>
      </w:r>
    </w:p>
    <w:p>
      <w:r>
        <w:t>I have not undertaken, and am not undertaking, any assessment of the trade-secret claim itself. That analysis belongs to Gideon Park, who has visibility into the underlying facts and evidence that I do not have. I have been clear with Priyanka that my role here is limited to this one collision-risk question.</w:t>
      </w:r>
    </w:p>
    <w:p>
      <w:pPr>
        <w:pStyle w:val="Heading2"/>
      </w:pPr>
      <w:r>
        <w:t>4. Recommended Next Steps</w:t>
      </w:r>
    </w:p>
    <w:p>
      <w:pPr>
        <w:pStyle w:val="ListNumber"/>
      </w:pPr>
      <w:r>
        <w:t>Obtain written confirmation from Priyanka (or from whoever holds the facts) of the patent-filing status before any C&amp;D letter, demand, or injunction application is finalized or sent.</w:t>
      </w:r>
    </w:p>
    <w:p>
      <w:pPr>
        <w:pStyle w:val="ListNumber"/>
      </w:pPr>
      <w:r>
        <w:t>If a patent application exists or is contemplated, loop in patent counsel and Gideon Park together before any external trade-secret step is taken, so that the two workstreams are coordinated rather than running in parallel without visibility into each other.</w:t>
      </w:r>
    </w:p>
    <w:p>
      <w:pPr>
        <w:pStyle w:val="ListNumber"/>
      </w:pPr>
      <w:r>
        <w:t>If no patent application exists and none is contemplated, confirm that in writing and note the confirmation date in the file, since the absence of a filing is itself a fact worth preserving for later use if secrecy is challenged.</w:t>
      </w:r>
    </w:p>
    <w:p>
      <w:pPr>
        <w:pStyle w:val="ListNumber"/>
      </w:pPr>
      <w:r>
        <w:t>Hold any drafting of trade-secret correspondence that characterizes the technology until the filing-status question is resolved, to avoid locking in language that may need to be reconciled with a patent specification later.</w:t>
      </w:r>
    </w:p>
    <w:p>
      <w:pPr>
        <w:pStyle w:val="ListNumber"/>
      </w:pPr>
      <w:r>
        <w:t>Once filing status is confirmed, revisit this memo to either close out the collision risk or escalate it as a live issue requiring joint sign-off from IP litigation and patent counsel.</w:t>
      </w:r>
    </w:p>
    <w:p>
      <w:pPr>
        <w:pStyle w:val="Heading2"/>
      </w:pPr>
      <w:r>
        <w:t>5. Open Items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Confirm control-loop patent filing status (filed / pending / contemplated / none)</w:t>
            </w:r>
          </w:p>
        </w:tc>
        <w:tc>
          <w:tcPr>
            <w:tcW w:type="dxa" w:w="2880"/>
          </w:tcPr>
          <w:p>
            <w:r>
              <w:t>Priyanka Deshmukh</w:t>
            </w:r>
          </w:p>
        </w:tc>
        <w:tc>
          <w:tcPr>
            <w:tcW w:type="dxa" w:w="2880"/>
          </w:tcPr>
          <w:p>
            <w:r>
              <w:t>Requested; response expected within one business day</w:t>
            </w:r>
          </w:p>
        </w:tc>
      </w:tr>
      <w:tr>
        <w:tc>
          <w:tcPr>
            <w:tcW w:type="dxa" w:w="2880"/>
          </w:tcPr>
          <w:p>
            <w:r>
              <w:t>Substantive trade-secret misappropriation assessment</w:t>
            </w:r>
          </w:p>
        </w:tc>
        <w:tc>
          <w:tcPr>
            <w:tcW w:type="dxa" w:w="2880"/>
          </w:tcPr>
          <w:p>
            <w:r>
              <w:t>Gideon Park</w:t>
            </w:r>
          </w:p>
        </w:tc>
        <w:tc>
          <w:tcPr>
            <w:tcW w:type="dxa" w:w="2880"/>
          </w:tcPr>
          <w:p>
            <w:r>
              <w:t>Outside scope of this memo; not assessed here</w:t>
            </w:r>
          </w:p>
        </w:tc>
      </w:tr>
      <w:tr>
        <w:tc>
          <w:tcPr>
            <w:tcW w:type="dxa" w:w="2880"/>
          </w:tcPr>
          <w:p>
            <w:r>
              <w:t>Reconciliation of C&amp;D/injunction language with any patent specification</w:t>
            </w:r>
          </w:p>
        </w:tc>
        <w:tc>
          <w:tcPr>
            <w:tcW w:type="dxa" w:w="2880"/>
          </w:tcPr>
          <w:p>
            <w:r>
              <w:t>Klara Bendtsen (pending patent counsel input)</w:t>
            </w:r>
          </w:p>
        </w:tc>
        <w:tc>
          <w:tcPr>
            <w:tcW w:type="dxa" w:w="2880"/>
          </w:tcPr>
          <w:p>
            <w:r>
              <w:t>Blocked on filing-status confirmation</w:t>
            </w:r>
          </w:p>
        </w:tc>
      </w:tr>
      <w:tr>
        <w:tc>
          <w:tcPr>
            <w:tcW w:type="dxa" w:w="2880"/>
          </w:tcPr>
          <w:p>
            <w:r>
              <w:t>Inventorship/assignment check if a filing names the departing individual</w:t>
            </w:r>
          </w:p>
        </w:tc>
        <w:tc>
          <w:tcPr>
            <w:tcW w:type="dxa" w:w="2880"/>
          </w:tcPr>
          <w:p>
            <w:r>
              <w:t>To be assigned once filing status is known</w:t>
            </w:r>
          </w:p>
        </w:tc>
        <w:tc>
          <w:tcPr>
            <w:tcW w:type="dxa" w:w="2880"/>
          </w:tcPr>
          <w:p>
            <w:r>
              <w:t>Not yet triggered</w:t>
            </w:r>
          </w:p>
        </w:tc>
      </w:tr>
    </w:tbl>
    <w:p>
      <w:r>
        <w:t>This memo will be revised once Priyanka's confirmation is received. Until then, no trade-secret correspondence describing the control-loop technology should be finalized.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