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Reserve Range and Basis Memorandum</w:t>
      </w:r>
    </w:p>
    <w:p>
      <w:r>
        <w:t>Re: Professional Liability Claim — Exposure View, Coverage Position, and Budget Estimate</w:t>
      </w:r>
    </w:p>
    <w:p>
      <w:r>
        <w:t>Prepared by Bennett Ashworth, Partner. Circulated to Desmond and Cecile at their request to memorialize the reserve assessment currently under discussion, so that the reserve range and its basis are set out in writing rather than carried only in correspondence.</w:t>
      </w:r>
    </w:p>
    <w:p>
      <w:pPr>
        <w:pStyle w:val="Heading2"/>
      </w:pPr>
      <w:r>
        <w:t>I. Purpose</w:t>
      </w:r>
    </w:p>
    <w:p>
      <w:r>
        <w:t>This memorandum confirms, in writing, the exposure view, coverage position, and budget estimate previously discussed with Desmond and Cecile in connection with the pending professional liability claim. It is intended to drive the reserve assessment thread to resolution by setting out a single current statement of basis against which the existing reserve can be confirmed or adjusted.</w:t>
      </w:r>
    </w:p>
    <w:p>
      <w:pPr>
        <w:pStyle w:val="Heading2"/>
      </w:pPr>
      <w:r>
        <w:t>II. Status Since Last Reserve Update</w:t>
      </w:r>
    </w:p>
    <w:p>
      <w:r>
        <w:t>File review confirms no material developments since Cecile's last update that would justify moving the reserve at this time. Specifically, no changes have occurred on the pleadings, on the expert track, in settlement posture, or in the coverage position that alter the basis for the existing reserve. Accordingly, this memorandum reaffirms — rather than revises — the exposure view, coverage position, and budget estimate set out below.</w:t>
      </w:r>
    </w:p>
    <w:p>
      <w:pPr>
        <w:pStyle w:val="Heading2"/>
      </w:pPr>
      <w:r>
        <w:t>III. Exposure View</w:t>
      </w:r>
    </w:p>
    <w:p>
      <w:r>
        <w:t>The exposure view underlying the current reserve remains unchanged from the last assessment. No new pleading amendments, expert disclosures, or settlement developments have arisen that bear on the range. This view will be revisited promptly if the pending Second Request scope and deadline calculation, or the outcome of the anticipated discovery motion practice, produces a material change in litigation posture.</w:t>
      </w:r>
    </w:p>
    <w:p>
      <w:pPr>
        <w:pStyle w:val="Heading2"/>
      </w:pPr>
      <w:r>
        <w:t>IV. Coverage Position</w:t>
      </w:r>
    </w:p>
    <w:p>
      <w:r>
        <w:t>The coverage position previously communicated to Desmond and Cecile is reaffirmed without change. No coverage correspondence, reservation-of-rights update, or carrier communication has been received that would alter the basis on which the current reserve rests.</w:t>
      </w:r>
    </w:p>
    <w:p>
      <w:pPr>
        <w:pStyle w:val="Heading2"/>
      </w:pPr>
      <w:r>
        <w:t>V. Budget Estimate</w:t>
      </w:r>
    </w:p>
    <w:p>
      <w:r>
        <w:t>The existing budget estimate is reaffirmed as the working basis for reserve purposes. A revised hours-and-cost estimate will be sent once the confirmed Second Request deadline and production-scope comparison are finalized; that confirmation is in progress and expected shortly. Pending that revision, the current estimate should be treated as the operative figure for the reserve range.</w:t>
      </w:r>
    </w:p>
    <w:p>
      <w:pPr>
        <w:pStyle w:val="Heading2"/>
      </w:pPr>
      <w:r>
        <w:t>VI. Basis for Reaffirming the Reserve</w:t>
      </w:r>
    </w:p>
    <w:p>
      <w:pPr>
        <w:pStyle w:val="ListNumber"/>
      </w:pPr>
      <w:r>
        <w:t>No material change in pleadings posture since the last update.</w:t>
      </w:r>
    </w:p>
    <w:p>
      <w:pPr>
        <w:pStyle w:val="ListNumber"/>
      </w:pPr>
      <w:r>
        <w:t>No material change in expert track or anticipated expert exposure since the last update.</w:t>
      </w:r>
    </w:p>
    <w:p>
      <w:pPr>
        <w:pStyle w:val="ListNumber"/>
      </w:pPr>
      <w:r>
        <w:t>No settlement development that would alter the exposure view.</w:t>
      </w:r>
    </w:p>
    <w:p>
      <w:pPr>
        <w:pStyle w:val="ListNumber"/>
      </w:pPr>
      <w:r>
        <w:t>No coverage development that would alter the coverage position.</w:t>
      </w:r>
    </w:p>
    <w:p>
      <w:pPr>
        <w:pStyle w:val="ListNumber"/>
      </w:pPr>
      <w:r>
        <w:t>Budget estimate under active refinement, with a revised figure to follow once discovery scope is confirmed; this refinement is not expected to be material to the reserve range itself.</w:t>
      </w:r>
    </w:p>
    <w:p>
      <w:pPr>
        <w:pStyle w:val="Heading2"/>
      </w:pPr>
      <w:r>
        <w:t>VII. Next Steps</w:t>
      </w:r>
    </w:p>
    <w:p>
      <w:pPr>
        <w:pStyle w:val="ListBullet"/>
      </w:pPr>
      <w:r>
        <w:t>Firm will send a revised hours/cost estimate promptly upon confirmation of the discovery scope and deadline calculation now in progress.</w:t>
      </w:r>
    </w:p>
    <w:p>
      <w:pPr>
        <w:pStyle w:val="ListBullet"/>
      </w:pPr>
      <w:r>
        <w:t>Firm will restate this reserve range and basis in writing again if requested, or on any material development, whichever comes first.</w:t>
      </w:r>
    </w:p>
    <w:p>
      <w:pPr>
        <w:pStyle w:val="ListBullet"/>
      </w:pPr>
      <w:r>
        <w:t>Firm commits to proactive updates to Desmond and Cecile going forward rather than waiting on inbound inquiry.</w:t>
      </w:r>
    </w:p>
    <w:p>
      <w:r>
        <w:t>See record for the underlying pleadings, expert, settlement, and coverage file on which this reaffirmation rests. Available on request for review with Desmond and Cecile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