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Privileged &amp; Confidential — Attorney Work Product</w:t>
      </w:r>
    </w:p>
    <w:p>
      <w:r>
        <w:t>MEMORANDUM</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To</w:t>
            </w:r>
          </w:p>
        </w:tc>
        <w:tc>
          <w:tcPr>
            <w:tcW w:type="dxa" w:w="4320"/>
          </w:tcPr>
          <w:p>
            <w:r>
              <w:t>File</w:t>
            </w:r>
          </w:p>
        </w:tc>
      </w:tr>
      <w:tr>
        <w:tc>
          <w:tcPr>
            <w:tcW w:type="dxa" w:w="4320"/>
          </w:tcPr>
          <w:p>
            <w:r>
              <w:t>From</w:t>
            </w:r>
          </w:p>
        </w:tc>
        <w:tc>
          <w:tcPr>
            <w:tcW w:type="dxa" w:w="4320"/>
          </w:tcPr>
          <w:p>
            <w:r>
              <w:t>Petra Kovacs, Associate</w:t>
            </w:r>
          </w:p>
        </w:tc>
      </w:tr>
      <w:tr>
        <w:tc>
          <w:tcPr>
            <w:tcW w:type="dxa" w:w="4320"/>
          </w:tcPr>
          <w:p>
            <w:r>
              <w:t>Re</w:t>
            </w:r>
          </w:p>
        </w:tc>
        <w:tc>
          <w:tcPr>
            <w:tcW w:type="dxa" w:w="4320"/>
          </w:tcPr>
          <w:p>
            <w:r>
              <w:t>Devane Investigation — Witness Interview Memorandum in Advance of Scheduled Sessions</w:t>
            </w:r>
          </w:p>
        </w:tc>
      </w:tr>
      <w:tr>
        <w:tc>
          <w:tcPr>
            <w:tcW w:type="dxa" w:w="4320"/>
          </w:tcPr>
          <w:p>
            <w:r>
              <w:t>Status</w:t>
            </w:r>
          </w:p>
        </w:tc>
        <w:tc>
          <w:tcPr>
            <w:tcW w:type="dxa" w:w="4320"/>
          </w:tcPr>
          <w:p>
            <w:r>
              <w:t>Draft — interview plan confirmed at employment practice huddle; subject to revision following witness sessions</w:t>
            </w:r>
          </w:p>
        </w:tc>
      </w:tr>
    </w:tbl>
    <w:p>
      <w:pPr>
        <w:pStyle w:val="Heading2"/>
      </w:pPr>
      <w:r>
        <w:t>1. Purpose</w:t>
      </w:r>
    </w:p>
    <w:p>
      <w:r>
        <w:t>This memorandum documents, for the file, the current state of the Devane investigation as it relates to scheduled witness interviews, and sets out the factual predicate, open questions, and sequencing rationale for each session. It builds on the Interview Plan and Case Notes memorandum and incorporates the outcome of the employment practice huddle, at which the plan, sequencing, and question sets were reviewed with the team and confirmed without substantive change.</w:t>
      </w:r>
    </w:p>
    <w:p>
      <w:pPr>
        <w:pStyle w:val="Heading2"/>
      </w:pPr>
      <w:r>
        <w:t>2. Background</w:t>
      </w:r>
    </w:p>
    <w:p>
      <w:r>
        <w:t>The investigation concerns allegations raised in connection with the Devane matter. As reflected in prior file notes, the document review workstream (Review Tracker, doc-000022) has been reviewed as reviewer of record, with review notes flagging thin or unsupported items — including the B-006 pace claim, the B-007 vendor delay resolution, the B-004 staffing risk item, and the B-008 unstaffed/unassigned batch. Sign-off notes were appended to entries that stand on the existing record (B-001, B-002, B-003, B-005), as well as to the Privilege Log Summary and Status Rollup sheets. No underlying data or figures were altered; only reviewer commentary was added, consistent with the firm's practice of marking up rather than rewriting the record.</w:t>
      </w:r>
    </w:p>
    <w:p>
      <w:r>
        <w:t>Custodian identity-verification issues remain open for BATCH-004 and BATCH-008. Escalation dates have been set on the tracker and a visible note has been added directly on the identity verification tracker flagging those dates, as confirmed to Fionnuala.</w:t>
      </w:r>
    </w:p>
    <w:p>
      <w:pPr>
        <w:pStyle w:val="Heading2"/>
      </w:pPr>
      <w:r>
        <w:t>3. Status of Witness Sessions</w:t>
      </w:r>
    </w:p>
    <w:p>
      <w:r>
        <w:t>The interview plan and sequencing were reviewed with the employment practice team at the recent huddle. The discussion covered the witness list, the sequencing rationale in Section 5, and the thin-evidence items identified in review. No substantive changes resulted from that discussion; the plan, sequencing, and question sets stand as previously circulated. For the file: the team's confirmation at the huddle is treated as the basis for proceeding to scheduling under Section 7, rather than as a reopening of the plan. This memorandum advances that plan by identifying, witness by witness, the factual issues each session is intended to close out.</w:t>
      </w:r>
    </w:p>
    <w:p>
      <w:pPr>
        <w:pStyle w:val="Heading2"/>
      </w:pPr>
      <w:r>
        <w:t>4. Witnesses and Areas of Inquiry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Witness</w:t>
            </w:r>
          </w:p>
        </w:tc>
        <w:tc>
          <w:tcPr>
            <w:tcW w:type="dxa" w:w="1728"/>
          </w:tcPr>
          <w:p>
            <w:r>
              <w:t>Role/Relationship</w:t>
            </w:r>
          </w:p>
        </w:tc>
        <w:tc>
          <w:tcPr>
            <w:tcW w:type="dxa" w:w="1728"/>
          </w:tcPr>
          <w:p>
            <w:r>
              <w:t>Primary Topics</w:t>
            </w:r>
          </w:p>
        </w:tc>
        <w:tc>
          <w:tcPr>
            <w:tcW w:type="dxa" w:w="1728"/>
          </w:tcPr>
          <w:p>
            <w:r>
              <w:t>Linked Batch/Log Items</w:t>
            </w:r>
          </w:p>
        </w:tc>
        <w:tc>
          <w:tcPr>
            <w:tcW w:type="dxa" w:w="1728"/>
          </w:tcPr>
          <w:p>
            <w:r>
              <w:t>Open Issues to Probe</w:t>
            </w:r>
          </w:p>
        </w:tc>
      </w:tr>
      <w:tr>
        <w:tc>
          <w:tcPr>
            <w:tcW w:type="dxa" w:w="1728"/>
          </w:tcPr>
          <w:p>
            <w:r>
              <w:t>Witness A</w:t>
            </w:r>
          </w:p>
        </w:tc>
        <w:tc>
          <w:tcPr>
            <w:tcW w:type="dxa" w:w="1728"/>
          </w:tcPr>
          <w:p>
            <w:r>
              <w:t>Direct supervisor during relevant period</w:t>
            </w:r>
          </w:p>
        </w:tc>
        <w:tc>
          <w:tcPr>
            <w:tcW w:type="dxa" w:w="1728"/>
          </w:tcPr>
          <w:p>
            <w:r>
              <w:t>Pace of work allegation; staffing decisions</w:t>
            </w:r>
          </w:p>
        </w:tc>
        <w:tc>
          <w:tcPr>
            <w:tcW w:type="dxa" w:w="1728"/>
          </w:tcPr>
          <w:p>
            <w:r>
              <w:t>B-006, B-004</w:t>
            </w:r>
          </w:p>
        </w:tc>
        <w:tc>
          <w:tcPr>
            <w:tcW w:type="dxa" w:w="1728"/>
          </w:tcPr>
          <w:p>
            <w:r>
              <w:t>B-006 pace claim is thinly supported in the current record; ask for contemporaneous documentation and specific dates. B-004 staffing risk item needs firsthand account of staffing decisions and who made them.</w:t>
            </w:r>
          </w:p>
        </w:tc>
      </w:tr>
      <w:tr>
        <w:tc>
          <w:tcPr>
            <w:tcW w:type="dxa" w:w="1728"/>
          </w:tcPr>
          <w:p>
            <w:r>
              <w:t>Witness B</w:t>
            </w:r>
          </w:p>
        </w:tc>
        <w:tc>
          <w:tcPr>
            <w:tcW w:type="dxa" w:w="1728"/>
          </w:tcPr>
          <w:p>
            <w:r>
              <w:t>Vendor relationship contact</w:t>
            </w:r>
          </w:p>
        </w:tc>
        <w:tc>
          <w:tcPr>
            <w:tcW w:type="dxa" w:w="1728"/>
          </w:tcPr>
          <w:p>
            <w:r>
              <w:t>Vendor delay resolution</w:t>
            </w:r>
          </w:p>
        </w:tc>
        <w:tc>
          <w:tcPr>
            <w:tcW w:type="dxa" w:w="1728"/>
          </w:tcPr>
          <w:p>
            <w:r>
              <w:t>B-007</w:t>
            </w:r>
          </w:p>
        </w:tc>
        <w:tc>
          <w:tcPr>
            <w:tcW w:type="dxa" w:w="1728"/>
          </w:tcPr>
          <w:p>
            <w:r>
              <w:t>B-007 vendor delay resolution is flagged as unsupported; obtain the underlying communications and timeline directly from the witness rather than relying on summary characterizations in the tracker.</w:t>
            </w:r>
          </w:p>
        </w:tc>
      </w:tr>
      <w:tr>
        <w:tc>
          <w:tcPr>
            <w:tcW w:type="dxa" w:w="1728"/>
          </w:tcPr>
          <w:p>
            <w:r>
              <w:t>Witness C</w:t>
            </w:r>
          </w:p>
        </w:tc>
        <w:tc>
          <w:tcPr>
            <w:tcW w:type="dxa" w:w="1728"/>
          </w:tcPr>
          <w:p>
            <w:r>
              <w:t>Team member, unstaffed batch period</w:t>
            </w:r>
          </w:p>
        </w:tc>
        <w:tc>
          <w:tcPr>
            <w:tcW w:type="dxa" w:w="1728"/>
          </w:tcPr>
          <w:p>
            <w:r>
              <w:t>Coverage gap during B-008 period</w:t>
            </w:r>
          </w:p>
        </w:tc>
        <w:tc>
          <w:tcPr>
            <w:tcW w:type="dxa" w:w="1728"/>
          </w:tcPr>
          <w:p>
            <w:r>
              <w:t>B-008</w:t>
            </w:r>
          </w:p>
        </w:tc>
        <w:tc>
          <w:tcPr>
            <w:tcW w:type="dxa" w:w="1728"/>
          </w:tcPr>
          <w:p>
            <w:r>
              <w:t>B-008 batch was unstaffed/unassigned; confirm who, if anyone, had responsibility during the relevant window and whether responsive documents exist outside the reviewed set.</w:t>
            </w:r>
          </w:p>
        </w:tc>
      </w:tr>
      <w:tr>
        <w:tc>
          <w:tcPr>
            <w:tcW w:type="dxa" w:w="1728"/>
          </w:tcPr>
          <w:p>
            <w:r>
              <w:t>Witness D</w:t>
            </w:r>
          </w:p>
        </w:tc>
        <w:tc>
          <w:tcPr>
            <w:tcW w:type="dxa" w:w="1728"/>
          </w:tcPr>
          <w:p>
            <w:r>
              <w:t>Custodian, BATCH-004</w:t>
            </w:r>
          </w:p>
        </w:tc>
        <w:tc>
          <w:tcPr>
            <w:tcW w:type="dxa" w:w="1728"/>
          </w:tcPr>
          <w:p>
            <w:r>
              <w:t>Identity verification, custody of records</w:t>
            </w:r>
          </w:p>
        </w:tc>
        <w:tc>
          <w:tcPr>
            <w:tcW w:type="dxa" w:w="1728"/>
          </w:tcPr>
          <w:p>
            <w:r>
              <w:t>BATCH-004</w:t>
            </w:r>
          </w:p>
        </w:tc>
        <w:tc>
          <w:tcPr>
            <w:tcW w:type="dxa" w:w="1728"/>
          </w:tcPr>
          <w:p>
            <w:r>
              <w:t>Identity verification is outstanding; escalation date has been set on the tracker. Confirm custodian identity in person before proceeding to substantive questions.</w:t>
            </w:r>
          </w:p>
        </w:tc>
      </w:tr>
      <w:tr>
        <w:tc>
          <w:tcPr>
            <w:tcW w:type="dxa" w:w="1728"/>
          </w:tcPr>
          <w:p>
            <w:r>
              <w:t>Witness E</w:t>
            </w:r>
          </w:p>
        </w:tc>
        <w:tc>
          <w:tcPr>
            <w:tcW w:type="dxa" w:w="1728"/>
          </w:tcPr>
          <w:p>
            <w:r>
              <w:t>Custodian, BATCH-008</w:t>
            </w:r>
          </w:p>
        </w:tc>
        <w:tc>
          <w:tcPr>
            <w:tcW w:type="dxa" w:w="1728"/>
          </w:tcPr>
          <w:p>
            <w:r>
              <w:t>Identity verification, custody of records</w:t>
            </w:r>
          </w:p>
        </w:tc>
        <w:tc>
          <w:tcPr>
            <w:tcW w:type="dxa" w:w="1728"/>
          </w:tcPr>
          <w:p>
            <w:r>
              <w:t>BATCH-008</w:t>
            </w:r>
          </w:p>
        </w:tc>
        <w:tc>
          <w:tcPr>
            <w:tcW w:type="dxa" w:w="1728"/>
          </w:tcPr>
          <w:p>
            <w:r>
              <w:t>Same identity-verification gap as BATCH-004; escalation date set. Session should not proceed to substance until identity is confirmed or the escalation is resolved.</w:t>
            </w:r>
          </w:p>
        </w:tc>
      </w:tr>
    </w:tbl>
    <w:p>
      <w:pPr>
        <w:pStyle w:val="Heading2"/>
      </w:pPr>
      <w:r>
        <w:t>5. Sequencing Rationale</w:t>
      </w:r>
    </w:p>
    <w:p>
      <w:r>
        <w:t>Custodian identity-verification sessions (Witnesses D and E) should occur only after the BATCH-004 and BATCH-008 escalation dates have either resolved the verification question or confirmed the need to proceed without full verification, noted as a limitation. Substantive interviews (Witnesses A, B, and C) are sequenced to address the thin-evidence items identified in review — B-006, B-007, B-004, and B-008 — in the order that allows earlier interviews to inform the questions asked in later ones. This sequencing was reviewed and confirmed at the employment practice huddle without change.</w:t>
      </w:r>
    </w:p>
    <w:p>
      <w:pPr>
        <w:pStyle w:val="Heading2"/>
      </w:pPr>
      <w:r>
        <w:t>6. Fact/Allegation Separation</w:t>
      </w:r>
    </w:p>
    <w:p>
      <w:r>
        <w:t>Consistent with the firm's practice of separating fact from allegation, the following distinctions are maintained for purposes of these interviews:</w:t>
      </w:r>
    </w:p>
    <w:p>
      <w:pPr>
        <w:pStyle w:val="ListBullet"/>
      </w:pPr>
      <w:r>
        <w:t>Fact, as currently supported by the document record: the existence of BATCH-004 and BATCH-008, the unstaffed status of B-008, and the dates on which escalation was set.</w:t>
      </w:r>
    </w:p>
    <w:p>
      <w:pPr>
        <w:pStyle w:val="ListBullet"/>
      </w:pPr>
      <w:r>
        <w:t>Allegation, not yet corroborated: the B-006 pace claim and the characterization in B-007 that the vendor delay was resolved. These are the subject of direct inquiry in the sessions above, not conclusions to be assumed going into them.</w:t>
      </w:r>
    </w:p>
    <w:p>
      <w:pPr>
        <w:pStyle w:val="ListBullet"/>
      </w:pPr>
      <w:r>
        <w:t>Open question, neither fact nor allegation: whether the B-004 staffing risk item reflects a decision, an omission, or an artifact of unstaffed coverage — to be resolved through Witness A's and Witness C's accounts.</w:t>
      </w:r>
    </w:p>
    <w:p>
      <w:pPr>
        <w:pStyle w:val="Heading2"/>
      </w:pPr>
      <w:r>
        <w:t>7. Next Steps</w:t>
      </w:r>
    </w:p>
    <w:p>
      <w:pPr>
        <w:pStyle w:val="ListNumber"/>
      </w:pPr>
      <w:r>
        <w:t>Confirm scheduling for Witnesses A through E, sequenced per Section 5, now that the plan has been confirmed at the employment practice huddle.</w:t>
      </w:r>
    </w:p>
    <w:p>
      <w:pPr>
        <w:pStyle w:val="ListNumber"/>
      </w:pPr>
      <w:r>
        <w:t>Chase custodian responses on BATCH-004 and BATCH-008 per the escalation dates already set on the tracker.</w:t>
      </w:r>
    </w:p>
    <w:p>
      <w:pPr>
        <w:pStyle w:val="ListNumber"/>
      </w:pPr>
      <w:r>
        <w:t>Prepare witness-specific question sets keyed to the topics in Section 4, for circulation to the team ahead of each session.</w:t>
      </w:r>
    </w:p>
    <w:p>
      <w:pPr>
        <w:pStyle w:val="ListNumber"/>
      </w:pPr>
      <w:r>
        <w:t>Update this memorandum after each interview with a summary of testimony and any resulting changes to the thin-evidence assessments in Section 4.</w:t>
      </w:r>
    </w:p>
    <w:p>
      <w:r>
        <w:t>For the file: this memorandum reflects the state of the investigation as of the date above, including confirmation of the interview plan at the employment practice huddle, and will be revised following the witness sessions described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