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FOR INTERNAL FACT-CHECK ONLY — DO NOT SEND</w:t>
      </w:r>
    </w:p>
    <w:p>
      <w:r>
        <w:t>This draft is circulated per my commitment to Priyanka to route the letter for fact-check before it issues. Bracketed items require confirmation. Once confirmed, this will be finalized and issued as a PDF on firm letterhead.</w:t>
      </w:r>
    </w:p>
    <w:p>
      <w:pPr>
        <w:pStyle w:val="Heading2"/>
      </w:pPr>
      <w:r>
        <w:t>VIA EMAIL AND FEDERAL EXPRESS — PRIVILEGED AND CONFIDENTIAL</w:t>
      </w:r>
    </w:p>
    <w:p>
      <w:r>
        <w:t>[Date]</w:t>
      </w:r>
    </w:p>
    <w:p>
      <w:r>
        <w:t>Mr. Rohan Deshmukh</w:t>
        <w:br/>
        <w:t>[Home Address]</w:t>
        <w:br/>
        <w:t>[City, State ZIP]</w:t>
      </w:r>
    </w:p>
    <w:p>
      <w:r>
        <w:t>Re: Cease and Desist — Misappropriation of Trade Secrets and Breach of Confidentiality and Intellectual Property Assignment Obligations</w:t>
      </w:r>
    </w:p>
    <w:p>
      <w:r>
        <w:t>Dear Mr. Deshmukh:</w:t>
      </w:r>
    </w:p>
    <w:p>
      <w:r>
        <w:t>We represent [Client] (the "Company") in connection with your recent departure and the circumstances surrounding it. We write to demand that you immediately cease and desist from any further use, disclosure, or retention of the Company's confidential and trade secret information, and to put you on notice of the Company's rights and its intent to pursue all available remedies, including injunctive relief, if you fail to comply.</w:t>
      </w:r>
    </w:p>
    <w:p>
      <w:pPr>
        <w:pStyle w:val="Heading2"/>
      </w:pPr>
      <w:r>
        <w:t>1. Background</w:t>
      </w:r>
    </w:p>
    <w:p>
      <w:r>
        <w:t>You were employed by the Company as a control systems engineer on the control-loop platform team from [start date] until your resignation on [resignation date] (the "Walkout"). During your employment, you signed the Company's standard Employee Confidentiality, Invention Assignment, and Non-Disclosure Agreement dated [date] (the "NDA/IP Agreement"), a copy of which is enclosed as Exhibit A.</w:t>
      </w:r>
    </w:p>
    <w:p>
      <w:r>
        <w:t>The Company has determined that, in the days immediately preceding and following your resignation, you accessed, downloaded, and/or transferred materials relating to the Company's proprietary control-loop algorithms, tuning parameters, and associated source code and design notebooks (the "Control-Loop Materials"). This letter addresses both the contractual and trade-secret bases for the Company's claims.</w:t>
      </w:r>
    </w:p>
    <w:p>
      <w:pPr>
        <w:pStyle w:val="Heading2"/>
      </w:pPr>
      <w:r>
        <w:t>2. Breach of the NDA/IP Assignment Agreement</w:t>
      </w:r>
    </w:p>
    <w:p>
      <w:r>
        <w:t>The NDA/IP Agreement obligates you, among other things, to (a) hold in confidence and not disclose or use any Company confidential information except in the performance of your duties, (b) return all Company property and materials upon termination of employment, and (c) assign to the Company all inventions, works, and improvements conceived or developed during your employment relating to the Company's business, including the Control-Loop Materials. [Careful here — confirm the assignment clause's scope covers post-employment conceived improvements if any are at issue; standard language should cover materials created during employment, which is the stronger and simpler theory and is not itself a fatal gap for this letter.]</w:t>
      </w:r>
    </w:p>
    <w:p>
      <w:r>
        <w:t>Your retention and suspected transfer of the Control-Loop Materials after resignation, without return or certification of deletion, breaches Sections [__] and [__] of the NDA/IP Agreement.</w:t>
      </w:r>
    </w:p>
    <w:p>
      <w:pPr>
        <w:pStyle w:val="Heading2"/>
      </w:pPr>
      <w:r>
        <w:t>3. Misappropriation of Trade Secrets</w:t>
      </w:r>
    </w:p>
    <w:p>
      <w:r>
        <w:t>Independent of the contractual breach, the Control-Loop Materials constitute trade secrets under the Defend Trade Secrets Act, 18 U.S.C. § 1836, and [state trade secret act]. The Company took reasonable measures to protect the secrecy of this information, including the following controls confirmed by the Company's engineering leadership (Priyanka [surname]):</w:t>
      </w:r>
    </w:p>
    <w:p>
      <w:pPr>
        <w:pStyle w:val="ListBullet"/>
      </w:pPr>
      <w:r>
        <w:t>Access to the control-loop repository and design notebooks was restricted on a need-to-know basis to members of the control-loop platform team, enforced through role-based repository permissions — confirmed by Priyanka.</w:t>
      </w:r>
    </w:p>
    <w:p>
      <w:pPr>
        <w:pStyle w:val="ListBullet"/>
      </w:pPr>
      <w:r>
        <w:t>Primary source materials (algorithm source code, tuning-parameter files, and core design documentation) were marked or labeled as confidential/proprietary at the file or repository level — confirmed by Priyanka.</w:t>
      </w:r>
    </w:p>
    <w:p>
      <w:pPr>
        <w:pStyle w:val="ListBullet"/>
      </w:pPr>
      <w:r>
        <w:t>Departing-employee offboarding procedures, including access revocation, were triggered upon notice of resignation.</w:t>
      </w:r>
    </w:p>
    <w:p>
      <w:pPr>
        <w:pStyle w:val="ListBullet"/>
      </w:pPr>
      <w:r>
        <w:t>[Open item — to be confirmed: whether engineering notebook entries themselves (as distinct from the primary repository materials) carried confidentiality markings; do not assert notebook-level marking until Priyanka confirms. This remains the sole outstanding control item.]</w:t>
      </w:r>
    </w:p>
    <w:p>
      <w:r>
        <w:t>These confirmed measures — particularly the access restrictions and marking of primary source materials — provide strong support for a reasonable-measures finding sufficient to sustain trade secret status independent of the contractual NDA/IP theory. Standard NDA/IP-assignment language, while useful as an alternative theory, is not required to fill any gap here; the access-control and marking evidence carries the trade-secret theory on its own.</w:t>
      </w:r>
    </w:p>
    <w:p>
      <w:r>
        <w:t>The Control-Loop Materials derive independent economic value from not being generally known to, and not being readily ascertainable by proper means by, the Company's competitors, who could obtain significant competitive advantage from their use or disclosure.</w:t>
      </w:r>
    </w:p>
    <w:p>
      <w:r>
        <w:t>[Careful here — confirm with Priyanka the specific evidentiary basis (log data, access records, exit-interview admissions) tying Mr. Deshmukh's actual access and any transfer of the Control-Loop Materials to a named recipient or destination before this letter issues; the letter as drafted assumes access is established but the transfer/use element needs a factual anchor.]</w:t>
      </w:r>
    </w:p>
    <w:p>
      <w:pPr>
        <w:pStyle w:val="Heading2"/>
      </w:pPr>
      <w:r>
        <w:t>4. Demand</w:t>
      </w:r>
    </w:p>
    <w:p>
      <w:r>
        <w:t>The Company demands that you, within five (5) business days of the date of this letter:</w:t>
      </w:r>
    </w:p>
    <w:p>
      <w:pPr>
        <w:pStyle w:val="ListNumber"/>
      </w:pPr>
      <w:r>
        <w:t>Immediately cease any use, disclosure, or further transfer of the Control-Loop Materials or any Company confidential information;</w:t>
      </w:r>
    </w:p>
    <w:p>
      <w:pPr>
        <w:pStyle w:val="ListNumber"/>
      </w:pPr>
      <w:r>
        <w:t>Return to the Company, or certify destruction of, all copies of the Control-Loop Materials and any other Company confidential information in your possession, custody, or control, in any format or medium;</w:t>
      </w:r>
    </w:p>
    <w:p>
      <w:pPr>
        <w:pStyle w:val="ListNumber"/>
      </w:pPr>
      <w:r>
        <w:t>Identify, in writing, any third party (including any current or prospective employer) to whom you have disclosed, shown, or transferred any Control-Loop Materials or Company confidential information;</w:t>
      </w:r>
    </w:p>
    <w:p>
      <w:pPr>
        <w:pStyle w:val="ListNumber"/>
      </w:pPr>
      <w:r>
        <w:t>Provide a sworn declaration confirming your compliance with items 1 through 3 above; and</w:t>
      </w:r>
    </w:p>
    <w:p>
      <w:pPr>
        <w:pStyle w:val="ListNumber"/>
      </w:pPr>
      <w:r>
        <w:t>Confirm in writing that you have not used, and will not use, any Company confidential information or trade secrets in any future employment or engagement.</w:t>
      </w:r>
    </w:p>
    <w:p>
      <w:pPr>
        <w:pStyle w:val="Heading2"/>
      </w:pPr>
      <w:r>
        <w:t>5. Reservation of Rights</w:t>
      </w:r>
    </w:p>
    <w:p>
      <w:r>
        <w:t>The Company reserves all rights and remedies available to it at law and in equity, including but not limited to injunctive relief, compensatory and exemplary damages, and recovery of attorneys' fees under the Defend Trade Secrets Act and applicable state law, in the event you fail to comply with the demands set forth above. Nothing in this letter shall be deemed a waiver of any of the Company's rights, all of which are expressly reserved.</w:t>
      </w:r>
    </w:p>
    <w:p>
      <w:r>
        <w:t>We trust this matter can be resolved without resort to litigation, but the Company is prepared to seek immediate injunctive relief if necessary to protect its rights.</w:t>
      </w:r>
    </w:p>
    <w:p>
      <w:r>
        <w:t>Sincerely,</w:t>
        <w:br/>
        <w:br/>
        <w:t>Klara Bendtsen</w:t>
        <w:br/>
        <w:t>Senior Associate, IP &amp; Technology</w:t>
        <w:br/>
        <w:t>[Firm Name]</w:t>
      </w:r>
    </w:p>
    <w:p>
      <w:r>
        <w:t>Enclosures: Exhibit A (NDA/IP Assignment Agreement)</w:t>
      </w:r>
    </w:p>
    <w:p>
      <w:pPr>
        <w:pStyle w:val="Heading2"/>
      </w:pPr>
      <w:r>
        <w:t>Fact-Check Checklist Before Issuance</w:t>
      </w:r>
    </w:p>
    <w:p>
      <w:pPr>
        <w:pStyle w:val="ListBullet"/>
      </w:pPr>
      <w:r>
        <w:t>Confirm employment dates and exact resignation/walkout date with HR.</w:t>
      </w:r>
    </w:p>
    <w:p>
      <w:pPr>
        <w:pStyle w:val="ListBullet"/>
      </w:pPr>
      <w:r>
        <w:t>Confirm NDA/IP Agreement execution date and pull exact section numbers for confidentiality, return-of-property, and assignment clauses.</w:t>
      </w:r>
    </w:p>
    <w:p>
      <w:pPr>
        <w:pStyle w:val="ListBullet"/>
      </w:pPr>
      <w:r>
        <w:t>Access-restriction and primary-source-material marking controls now confirmed by Priyanka — no further action needed on these two items.</w:t>
      </w:r>
    </w:p>
    <w:p>
      <w:pPr>
        <w:pStyle w:val="ListBullet"/>
      </w:pPr>
      <w:r>
        <w:t>Confirm whether notebook-level confidentiality marking can be established before asserting it — currently flagged as the sole open control item.</w:t>
      </w:r>
    </w:p>
    <w:p>
      <w:pPr>
        <w:pStyle w:val="ListBullet"/>
      </w:pPr>
      <w:r>
        <w:t>Confirm with Priyanka the evidentiary basis for access/download/transfer (log data, timestamps, named recipient if any) — separate open item, not yet resolved.</w:t>
      </w:r>
    </w:p>
    <w:p>
      <w:pPr>
        <w:pStyle w:val="ListBullet"/>
      </w:pPr>
      <w:r>
        <w:t>Confirm current employer/destination of Mr. Deshmukh, if known, for the third-party identification demand.</w:t>
      </w:r>
    </w:p>
    <w:p>
      <w:pPr>
        <w:pStyle w:val="ListBullet"/>
      </w:pPr>
      <w:r>
        <w:t>Confirm USPTO/docketing status from Gideon is not itself a dependency for this letter, but note internally that walkout increases urgency on the related patent filing schedule.</w:t>
      </w:r>
    </w:p>
    <w:p>
      <w:pPr>
        <w:pStyle w:val="ListBullet"/>
      </w:pPr>
      <w:r>
        <w:t>Route to litigation partner for review of injunctive-relief posture before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