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SCHEDULE B — LICENSED TECHNOLOGY AND INTELLECTUAL PROPERTY</w:t>
      </w:r>
    </w:p>
    <w:p>
      <w:r>
        <w:t>This Schedule B is attached to and forms part of the OEM Licence Agreement (the "Agreement") between Fairmont Industries, Inc. ("Licensor") and the counterparty identified in the Agreement as OEM licensee ("Licensee"). Capitalized terms not defined in this Schedule have the meanings given in the Agreement. This is a first draft prepared for internal review and is not for circulation to Licensee or its counsel.</w:t>
      </w:r>
    </w:p>
    <w:p>
      <w:pPr>
        <w:pStyle w:val="Heading2"/>
      </w:pPr>
      <w:r>
        <w:t>1. Licensed Technology</w:t>
      </w:r>
    </w:p>
    <w:p>
      <w:r>
        <w:t>1.1 "Licensed Technology" means the technology, specifications, firmware, and documentation identified in Section 2 (Licensed IP Assets) below, together with any Improvements thereto that Licensor elects to make available to Licensee under Section 4 of the Agreement.</w:t>
      </w:r>
    </w:p>
    <w:p>
      <w:r>
        <w:t>1.2 The Licensed Technology is licensed for incorporation solely into Licensee's product line identified in Exhibit A to the Agreement (the "Licensed Products"), and for no other product, service, or use.</w:t>
      </w:r>
    </w:p>
    <w:p>
      <w:pPr>
        <w:pStyle w:val="Heading2"/>
      </w:pPr>
      <w:r>
        <w:t>2. Licensed IP Assets</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Item No.</w:t>
            </w:r>
          </w:p>
        </w:tc>
        <w:tc>
          <w:tcPr>
            <w:tcW w:type="dxa" w:w="1728"/>
          </w:tcPr>
          <w:p>
            <w:r>
              <w:t>Description</w:t>
            </w:r>
          </w:p>
        </w:tc>
        <w:tc>
          <w:tcPr>
            <w:tcW w:type="dxa" w:w="1728"/>
          </w:tcPr>
          <w:p>
            <w:r>
              <w:t>Type</w:t>
            </w:r>
          </w:p>
        </w:tc>
        <w:tc>
          <w:tcPr>
            <w:tcW w:type="dxa" w:w="1728"/>
          </w:tcPr>
          <w:p>
            <w:r>
              <w:t>Registration / Filing Status</w:t>
            </w:r>
          </w:p>
        </w:tc>
        <w:tc>
          <w:tcPr>
            <w:tcW w:type="dxa" w:w="1728"/>
          </w:tcPr>
          <w:p>
            <w:r>
              <w:t>Owner of Record</w:t>
            </w:r>
          </w:p>
        </w:tc>
      </w:tr>
      <w:tr>
        <w:tc>
          <w:tcPr>
            <w:tcW w:type="dxa" w:w="1728"/>
          </w:tcPr>
          <w:p>
            <w:r>
              <w:t>1</w:t>
            </w:r>
          </w:p>
        </w:tc>
        <w:tc>
          <w:tcPr>
            <w:tcW w:type="dxa" w:w="1728"/>
          </w:tcPr>
          <w:p>
            <w:r>
              <w:t>Core control-module firmware, version 4.2</w:t>
            </w:r>
          </w:p>
        </w:tc>
        <w:tc>
          <w:tcPr>
            <w:tcW w:type="dxa" w:w="1728"/>
          </w:tcPr>
          <w:p>
            <w:r>
              <w:t>Copyright / Trade Secret</w:t>
            </w:r>
          </w:p>
        </w:tc>
        <w:tc>
          <w:tcPr>
            <w:tcW w:type="dxa" w:w="1728"/>
          </w:tcPr>
          <w:p>
            <w:r>
              <w:t>Unregistered — protected as trade secret</w:t>
            </w:r>
          </w:p>
        </w:tc>
        <w:tc>
          <w:tcPr>
            <w:tcW w:type="dxa" w:w="1728"/>
          </w:tcPr>
          <w:p>
            <w:r>
              <w:t>Fairmont Industries, Inc.</w:t>
            </w:r>
          </w:p>
        </w:tc>
      </w:tr>
      <w:tr>
        <w:tc>
          <w:tcPr>
            <w:tcW w:type="dxa" w:w="1728"/>
          </w:tcPr>
          <w:p>
            <w:r>
              <w:t>2</w:t>
            </w:r>
          </w:p>
        </w:tc>
        <w:tc>
          <w:tcPr>
            <w:tcW w:type="dxa" w:w="1728"/>
          </w:tcPr>
          <w:p>
            <w:r>
              <w:t>Thermal-regulation assembly design</w:t>
            </w:r>
          </w:p>
        </w:tc>
        <w:tc>
          <w:tcPr>
            <w:tcW w:type="dxa" w:w="1728"/>
          </w:tcPr>
          <w:p>
            <w:r>
              <w:t>Patent</w:t>
            </w:r>
          </w:p>
        </w:tc>
        <w:tc>
          <w:tcPr>
            <w:tcW w:type="dxa" w:w="1728"/>
          </w:tcPr>
          <w:p>
            <w:r>
              <w:t>U.S. Patent No. [TO BE CONFIRMED — pending IP docket search]</w:t>
            </w:r>
          </w:p>
        </w:tc>
        <w:tc>
          <w:tcPr>
            <w:tcW w:type="dxa" w:w="1728"/>
          </w:tcPr>
          <w:p>
            <w:r>
              <w:t>Fairmont Industries, Inc.</w:t>
            </w:r>
          </w:p>
        </w:tc>
      </w:tr>
      <w:tr>
        <w:tc>
          <w:tcPr>
            <w:tcW w:type="dxa" w:w="1728"/>
          </w:tcPr>
          <w:p>
            <w:r>
              <w:t>3</w:t>
            </w:r>
          </w:p>
        </w:tc>
        <w:tc>
          <w:tcPr>
            <w:tcW w:type="dxa" w:w="1728"/>
          </w:tcPr>
          <w:p>
            <w:r>
              <w:t>"FAIRMONT-OEM" product mark</w:t>
            </w:r>
          </w:p>
        </w:tc>
        <w:tc>
          <w:tcPr>
            <w:tcW w:type="dxa" w:w="1728"/>
          </w:tcPr>
          <w:p>
            <w:r>
              <w:t>Trademark</w:t>
            </w:r>
          </w:p>
        </w:tc>
        <w:tc>
          <w:tcPr>
            <w:tcW w:type="dxa" w:w="1728"/>
          </w:tcPr>
          <w:p>
            <w:r>
              <w:t>Registered, USPTO Reg. No. [TO BE CONFIRMED]</w:t>
            </w:r>
          </w:p>
        </w:tc>
        <w:tc>
          <w:tcPr>
            <w:tcW w:type="dxa" w:w="1728"/>
          </w:tcPr>
          <w:p>
            <w:r>
              <w:t>Fairmont Industries, Inc.</w:t>
            </w:r>
          </w:p>
        </w:tc>
      </w:tr>
      <w:tr>
        <w:tc>
          <w:tcPr>
            <w:tcW w:type="dxa" w:w="1728"/>
          </w:tcPr>
          <w:p>
            <w:r>
              <w:t>4</w:t>
            </w:r>
          </w:p>
        </w:tc>
        <w:tc>
          <w:tcPr>
            <w:tcW w:type="dxa" w:w="1728"/>
          </w:tcPr>
          <w:p>
            <w:r>
              <w:t>Installation and calibration manual, current edition</w:t>
            </w:r>
          </w:p>
        </w:tc>
        <w:tc>
          <w:tcPr>
            <w:tcW w:type="dxa" w:w="1728"/>
          </w:tcPr>
          <w:p>
            <w:r>
              <w:t>Copyright</w:t>
            </w:r>
          </w:p>
        </w:tc>
        <w:tc>
          <w:tcPr>
            <w:tcW w:type="dxa" w:w="1728"/>
          </w:tcPr>
          <w:p>
            <w:r>
              <w:t>Unregistered</w:t>
            </w:r>
          </w:p>
        </w:tc>
        <w:tc>
          <w:tcPr>
            <w:tcW w:type="dxa" w:w="1728"/>
          </w:tcPr>
          <w:p>
            <w:r>
              <w:t>Fairmont Industries, Inc.</w:t>
            </w:r>
          </w:p>
        </w:tc>
      </w:tr>
      <w:tr>
        <w:tc>
          <w:tcPr>
            <w:tcW w:type="dxa" w:w="1728"/>
          </w:tcPr>
          <w:p>
            <w:r>
              <w:t>5</w:t>
            </w:r>
          </w:p>
        </w:tc>
        <w:tc>
          <w:tcPr>
            <w:tcW w:type="dxa" w:w="1728"/>
          </w:tcPr>
          <w:p>
            <w:r>
              <w:t>Diagnostic test protocol suite</w:t>
            </w:r>
          </w:p>
        </w:tc>
        <w:tc>
          <w:tcPr>
            <w:tcW w:type="dxa" w:w="1728"/>
          </w:tcPr>
          <w:p>
            <w:r>
              <w:t>Trade Secret</w:t>
            </w:r>
          </w:p>
        </w:tc>
        <w:tc>
          <w:tcPr>
            <w:tcW w:type="dxa" w:w="1728"/>
          </w:tcPr>
          <w:p>
            <w:r>
              <w:t>Unregistered — subject to confidentiality obligations under Section 9 of the Agreement</w:t>
            </w:r>
          </w:p>
        </w:tc>
        <w:tc>
          <w:tcPr>
            <w:tcW w:type="dxa" w:w="1728"/>
          </w:tcPr>
          <w:p>
            <w:r>
              <w:t>Fairmont Industries, Inc.</w:t>
            </w:r>
          </w:p>
        </w:tc>
      </w:tr>
    </w:tbl>
    <w:p>
      <w:r>
        <w:t>2.1 Drafting note: Items 2 and 3 above require confirmation of registration numbers from Licensor's IP docket before this Schedule is finalized. Do not represent these as confirmed registrations to Licensee pending that confirmation.</w:t>
      </w:r>
    </w:p>
    <w:p>
      <w:pPr>
        <w:pStyle w:val="Heading2"/>
      </w:pPr>
      <w:r>
        <w:t>3. Scope of Licence</w:t>
      </w:r>
    </w:p>
    <w:p>
      <w:r>
        <w:t>3.1 Subject to the terms of the Agreement and this Schedule, Licensor grants to Licensee a non-exclusive, non-transferable, royalty-bearing licence to use the Licensed Technology solely to manufacture, have manufactured, and incorporate the Licensed Technology into the Licensed Products for sale under Licensee's own brand.</w:t>
      </w:r>
    </w:p>
    <w:p>
      <w:r>
        <w:t>3.2 The licence granted under Section 3.1 does not include the right to sublicense, except as expressly permitted under Section 5 (Permitted Subcontracting) of the Agreement.</w:t>
      </w:r>
    </w:p>
    <w:p>
      <w:r>
        <w:t>3.3 No licence is granted, expressly or by implication, to any Fairmont trademark other than the limited right to affix the "FAIRMONT-OEM" mark to Licensed Products as required by Section 6 of the Agreement, in the form and manner Licensor specifies in writing.</w:t>
      </w:r>
    </w:p>
    <w:p>
      <w:pPr>
        <w:pStyle w:val="Heading2"/>
      </w:pPr>
      <w:r>
        <w:t>4. Improvements</w:t>
      </w:r>
    </w:p>
    <w:p>
      <w:r>
        <w:t>4.1 "Improvement" means any modification, enhancement, or derivative of the Licensed Technology, whether created by Licensor or Licensee, that improves the function, performance, cost, or reliability of the Licensed Technology.</w:t>
      </w:r>
    </w:p>
    <w:p>
      <w:r>
        <w:t>4.2 Improvements to the Licensed Technology created solely by Licensor are owned exclusively by Licensor and are Licensed Technology under this Schedule upon disclosure to Licensee.</w:t>
      </w:r>
    </w:p>
    <w:p>
      <w:r>
        <w:t>4.3 Improvements created solely by Licensee using the Licensed Technology, without use of Licensor's confidential information beyond what is disclosed under this Schedule, are owned by Licensee, subject to Licensor's retained ownership of the underlying Licensed Technology and to the grant-back licence set out in Section 4.3A.</w:t>
      </w:r>
    </w:p>
    <w:p>
      <w:r>
        <w:t>4.3A Licensee hereby grants to Licensor a non-exclusive, worldwide, royalty-free licence, with the right to sublicense, to use, reproduce, modify, and incorporate Licensee-owned Improvements described in Section 4.3 into Licensor's products and technology generally, including products and technology outside the Licensed Products field of use. Confirmed by the business team (K. Bendtsen) as required; this Section 4.3A is now operative and no longer placeholder language.</w:t>
      </w:r>
    </w:p>
    <w:p>
      <w:r>
        <w:t>4.4 Joint Improvements — those created using both parties' personnel or confidential information — are owned jointly, and each party grants the other a non-exclusive, royalty-free licence to use jointly owned Improvements for its own products, subject to the field-of-use restriction in Section 3.1.</w:t>
      </w:r>
    </w:p>
    <w:p>
      <w:r>
        <w:t>4.5 For clarity, ownership of an Improvement under Sections 4.2 through 4.4 extends only to the incremental modification, enhancement, or derivative work embodied in that Improvement, and does not affect ownership of any pre-existing Licensed IP Asset identified in Section 2 that is incorporated into or underlies the Improvement, which remains owned by Licensor as set out in Section 5.1.</w:t>
      </w:r>
    </w:p>
    <w:p>
      <w:pPr>
        <w:pStyle w:val="Heading2"/>
      </w:pPr>
      <w:r>
        <w:t>5. Reservation of Rights</w:t>
      </w:r>
    </w:p>
    <w:p>
      <w:r>
        <w:t>5.1 Licensor reserves all rights in the Licensed Technology not expressly granted in this Schedule. Nothing in this Schedule or the Agreement transfers ownership of any Licensed IP Asset to Licensee.</w:t>
      </w:r>
    </w:p>
    <w:p>
      <w:r>
        <w:t>5.2 Licensee acknowledges that it acquires no right, title, or interest in the Licensed Technology other than the limited licence described in Section 3.</w:t>
      </w:r>
    </w:p>
    <w:p>
      <w:pPr>
        <w:pStyle w:val="Heading2"/>
      </w:pPr>
      <w:r>
        <w:t>6. Marking and Notice</w:t>
      </w:r>
    </w:p>
    <w:p>
      <w:r>
        <w:t>6.1 Licensee shall affix to each Licensed Product, and to associated packaging and documentation, such patent, copyright, and trademark notices as Licensor specifies in writing from time to time, including any notice required to preserve Licensor's rights under Section 2 above.</w:t>
      </w:r>
    </w:p>
    <w:p>
      <w:pPr>
        <w:pStyle w:val="Heading2"/>
      </w:pPr>
      <w:r>
        <w:t>7. Open Items for Review</w:t>
      </w:r>
    </w:p>
    <w:p>
      <w:pPr>
        <w:pStyle w:val="ListNumber"/>
      </w:pPr>
      <w:r>
        <w:t>Confirm U.S. Patent No. for Item 2 (thermal-regulation assembly) and USPTO Reg. No. for Item 3 (FAIRMONT-OEM mark) with Licensor's IP docket before circulation. STATUS: Still open — no docket confirmation received; do not represent Section 2 registration entries as confirmed to Licensee.</w:t>
      </w:r>
    </w:p>
    <w:p>
      <w:pPr>
        <w:pStyle w:val="ListNumber"/>
      </w:pPr>
      <w:r>
        <w:t>RESOLVED: Business team has confirmed the grant-back licence at Section 4.3A on Licensee-created Improvements (Section 4.3) is required; Section 4.3A is now drafted as operative language, no longer placeholder.</w:t>
      </w:r>
    </w:p>
    <w:p>
      <w:pPr>
        <w:pStyle w:val="ListNumber"/>
      </w:pPr>
      <w:r>
        <w:t>Confirm whether diagnostic test protocol suite (Item 5) is to be excluded from the Licensed Technology definition if Licensee's manufacturing subcontractor will not sign a direct confidentiality undertaking. STATUS: Still open — no confirmation received on subcontractor's willingness to sign a direct confidentiality undertaking; Item 5 remains in Section 2 as drafted pending that input.</w:t>
      </w:r>
    </w:p>
    <w:p>
      <w:pPr>
        <w:pStyle w:val="ListNumber"/>
      </w:pPr>
      <w:r>
        <w:t>Cross-check Section 3.1 field-of-use language against Exhibit A product definitions once Exhibit A is finalized — current draft assumes a single product line. STATUS: Still open — Exhibit A has not been finalized; Section 3.1 continues to assume a single Licensed Products line pending that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