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Fairmont OEM Licence Agreement — Substantive Redline</w:t>
      </w:r>
    </w:p>
    <w:p>
      <w:r>
        <w:t>Circulated for internal review ahead of Thursday review / Friday send to counterparty. Ownership and pre-assignment rights issues (Section 4 IP ownership provisions; v2 Section 7 pre-assignment rights) are settled and are not reopened by this redline. This pass addresses substantive licence terms: scope of grant, indemnification, liability caps, term/termination, and IP warranties.</w:t>
      </w:r>
    </w:p>
    <w:p>
      <w:pPr>
        <w:pStyle w:val="Heading2"/>
      </w:pPr>
      <w:r>
        <w:t>1. Scope of Licence Grant (Section 2)</w:t>
      </w:r>
    </w:p>
    <w:p>
      <w:r>
        <w:t>Current draft grants Fairmont a worldwide, exclusive licence to embed and distribute the licensed software as an OEM component within Fairmont-branded hardware products. Exclusivity is not qualified by field of use.</w:t>
      </w:r>
    </w:p>
    <w:p>
      <w:pPr>
        <w:pStyle w:val="ListBullet"/>
      </w:pPr>
      <w:r>
        <w:t>Narrow exclusivity to Fairmont's current product line (industrial control hardware) rather than an unqualified grant. Open-ended exclusive grants foreclose our client's ability to license the same technology into adjacent verticals (e.g., consumer or automotive), which Fairmont does not currently serve and has shown no plan to enter.</w:t>
      </w:r>
    </w:p>
    <w:p>
      <w:pPr>
        <w:pStyle w:val="ListBullet"/>
      </w:pPr>
      <w:r>
        <w:t>Add a field-of-use carve-back: client retains the right to license the technology outside Fairmont's defined field without breaching exclusivity.</w:t>
      </w:r>
    </w:p>
    <w:p>
      <w:pPr>
        <w:pStyle w:val="ListBullet"/>
      </w:pPr>
      <w:r>
        <w:t>Add sunset on exclusivity: convert to non-exclusive after year 3 absent minimum volume commitments (see Section 5 comment below).</w:t>
      </w:r>
    </w:p>
    <w:p>
      <w:pPr>
        <w:pStyle w:val="Heading2"/>
      </w:pPr>
      <w:r>
        <w:t>2. Minimum Volume / Royalty Commitments (Section 5)</w:t>
      </w:r>
    </w:p>
    <w:p>
      <w:r>
        <w:t>Draft is silent on minimum purchase or royalty commitments tied to the exclusive grant. An exclusive licence without a minimum-commitment backstop gives Fairmont a free option on exclusivity with no downside if it under-performs.</w:t>
      </w:r>
    </w:p>
    <w:p>
      <w:pPr>
        <w:pStyle w:val="ListBullet"/>
      </w:pPr>
      <w:r>
        <w:t>Insert minimum annual royalty floor as a condition of maintaining exclusivity.</w:t>
      </w:r>
    </w:p>
    <w:p>
      <w:pPr>
        <w:pStyle w:val="ListBullet"/>
      </w:pPr>
      <w:r>
        <w:t>Tie the exclusivity-to-non-exclusive conversion (see Section 1) to failure to meet the floor for two consecutive years.</w:t>
      </w:r>
    </w:p>
    <w:p>
      <w:pPr>
        <w:pStyle w:val="Heading2"/>
      </w:pPr>
      <w:r>
        <w:t>3. Indemnification (Section 8)</w:t>
      </w:r>
    </w:p>
    <w:p>
      <w:r>
        <w:t>Fairmont's draft indemnity is mutual and uncapped on both sides for third-party IP infringement claims, and silent on caps for general indemnity obligations (breach of confidentiality, data handling, etc.).</w:t>
      </w:r>
    </w:p>
    <w:p>
      <w:pPr>
        <w:pStyle w:val="ListBullet"/>
      </w:pPr>
      <w:r>
        <w:t>Uncapped indemnity for IP infringement is acceptable as the client's ceiling position, but only for claims arising from the licensed technology as delivered — not as modified or combined by Fairmont with third-party hardware/software. Add a modification/combination exclusion.</w:t>
      </w:r>
    </w:p>
    <w:p>
      <w:pPr>
        <w:pStyle w:val="ListBullet"/>
      </w:pPr>
      <w:r>
        <w:t>For general indemnity (non-IP), the current draft's silence defaults to no cap under governing law in most jurisdictions relevant here. careful here — recommend capping general indemnity obligations rather than leaving this open.</w:t>
      </w:r>
    </w:p>
    <w:p>
      <w:pPr>
        <w:pStyle w:val="ListBullet"/>
      </w:pPr>
      <w:r>
        <w:t>Fallback sequence if Fairmont pushes back on any cap for IP infringement claims (do not lead with this; hold in reserve): (a) cap at one times fees paid in the preceding 12 months; if rejected, (b) two times fees with a carve-out preserving uncapped exposure for willful infringement; if that is also rejected, (c) uncapped, but only for third-party IP infringement claims meeting the exclusion above, with all other indemnity obligations capped at two times fees. This is the client's fallback ladder, not an opening position — do not put (a) or (b) in the redline sent to Fairmont; hold for live negotiation.</w:t>
      </w:r>
    </w:p>
    <w:p>
      <w:pPr>
        <w:pStyle w:val="ListBullet"/>
      </w:pPr>
      <w:r>
        <w:t>Cross-reference: the modification/combination exclusion above should read consistently with the indemnity/IP-infringement carve-out framework now built into the Schedule B background-technology schedule (Section 4 of that Schedule) — confirm defined terms align before this redline goes out Friday.</w:t>
      </w:r>
    </w:p>
    <w:p>
      <w:pPr>
        <w:pStyle w:val="Heading2"/>
      </w:pPr>
      <w:r>
        <w:t>4. Limitation of Liability (Section 9)</w:t>
      </w:r>
    </w:p>
    <w:p>
      <w:r>
        <w:t>Draft caps aggregate liability at fees paid in the preceding 12 months, with standard carve-outs for gross negligence and willful misconduct, but the carve-outs as drafted also exclude indemnification obligations from the cap entirely — which conflicts with the indemnity cap discussion above and would make Section 8's cap illusory.</w:t>
      </w:r>
    </w:p>
    <w:p>
      <w:pPr>
        <w:pStyle w:val="ListBullet"/>
      </w:pPr>
      <w:r>
        <w:t>Reconcile Section 9's carve-out language with whatever cap is ultimately agreed in Section 8 — the two sections must not fight each other.</w:t>
      </w:r>
    </w:p>
    <w:p>
      <w:pPr>
        <w:pStyle w:val="ListBullet"/>
      </w:pPr>
      <w:r>
        <w:t>Add mutual cap on consequential/indirect damages; current draft caps client's exposure to consequential damages but not Fairmont's — this is one-sided and should be flagged as such in the transmittal note, not silently conformed.</w:t>
      </w:r>
    </w:p>
    <w:p>
      <w:pPr>
        <w:pStyle w:val="Heading2"/>
      </w:pPr>
      <w:r>
        <w:t>5. IP Warranties and Non-Infringement (Section 6)</w:t>
      </w:r>
    </w:p>
    <w:p>
      <w:r>
        <w:t>Fairmont's draft warranty is that the licensed technology does not infringe any third-party IP right, full stop, with no knowledge qualifier.</w:t>
      </w:r>
    </w:p>
    <w:p>
      <w:pPr>
        <w:pStyle w:val="ListBullet"/>
      </w:pPr>
      <w:r>
        <w:t>Qualify to 'no actual knowledge of infringement' rather than an absolute warranty — an absolute non-infringement warranty is not diligenceable and is inconsistent with market practice for licensed software of this type.</w:t>
      </w:r>
    </w:p>
    <w:p>
      <w:pPr>
        <w:pStyle w:val="ListBullet"/>
      </w:pPr>
      <w:r>
        <w:t>Add a client disclaimer of warranty as to any Fairmont modifications or combinations, consistent with the indemnity carve-out in Section 3.</w:t>
      </w:r>
    </w:p>
    <w:p>
      <w:pPr>
        <w:pStyle w:val="Heading2"/>
      </w:pPr>
      <w:r>
        <w:t>6. Term and Termination (Section 11)</w:t>
      </w:r>
    </w:p>
    <w:p>
      <w:r>
        <w:t>Draft allows termination for convenience by either party on 90 days' notice, which is inconsistent with the exclusivity grant — Fairmont could hold exclusivity for years and then walk with 90 days' notice, leaving client's technology encumbered during the notice period with no offsetting commitment.</w:t>
      </w:r>
    </w:p>
    <w:p>
      <w:pPr>
        <w:pStyle w:val="ListBullet"/>
      </w:pPr>
      <w:r>
        <w:t>Remove termination for convenience, or if Fairmont insists, tie it to loss of exclusivity effective immediately upon notice rather than at the end of the 90-day period.</w:t>
      </w:r>
    </w:p>
    <w:p>
      <w:pPr>
        <w:pStyle w:val="ListBullet"/>
      </w:pPr>
      <w:r>
        <w:t>Add survival clause for confidentiality, IP ownership (Section 4, already settled), and audit rights beyond termination.</w:t>
      </w:r>
    </w:p>
    <w:p>
      <w:pPr>
        <w:pStyle w:val="Heading2"/>
      </w:pPr>
      <w:r>
        <w:t>7. Open Items Not Addressed in This Pass</w:t>
      </w:r>
    </w:p>
    <w:p>
      <w:pPr>
        <w:pStyle w:val="ListBullet"/>
      </w:pPr>
      <w:r>
        <w:t>Repository write-access/misfiling issue — referred to and resolved with IT as a repository administration matter, not a drafting issue; confirmed closed with Oskar.</w:t>
      </w:r>
    </w:p>
    <w:p>
      <w:pPr>
        <w:pStyle w:val="ListBullet"/>
      </w:pPr>
      <w:r>
        <w:t>Ownership and pre-assignment rights (Section 4 / v2 Section 7) — confirmed settled with Oskar; not reopened here.</w:t>
      </w:r>
    </w:p>
    <w:p>
      <w:pPr>
        <w:pStyle w:val="ListBullet"/>
      </w:pPr>
      <w:r>
        <w:t>Schedule B (background technology) — substantive drafting confirmed complete: Background Technology definition tightened to close the jointly-developed pre-existing IP gap, new Section 6 added on residual knowledge/skills retained in personnel, and a cross-reference added tying Schedule B to the Section 4 indemnity/IP-infringement carve-out framework. Ownership of this schedule is closed; consistency check against Section 3/8 of this redline is the only remaining action, noted above.</w:t>
      </w:r>
    </w:p>
    <w:p>
      <w:r>
        <w:t>Status: substantive review of this redline has resumed now that ownership is confirmed settled and Schedule B drafting is complete. No substantive drafting questions remain open other than the Section 3/Schedule 4 consistency check flagged above. Next step: circulate for Thursday review; send to Fairmont counsel Friday per confirmed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