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Schedule 4.X — Background Technology and Pre-Existing Intellectual Property</w:t>
      </w:r>
    </w:p>
    <w:p>
      <w:r>
        <w:t>This Schedule supplements Section 4 (Intellectual Property Ownership) and Section 7 (Pre-Assignment Rights) of the OEM Licence Agreement between Fairmont and Licensor (the "Agreement"). It confirms the scope boundary already settled between the parties: Licensor retains all right, title, and interest in and to its Background Technology, and nothing in the Agreement, including the grant of rights to Licensed Products or Deliverables, assigns, transfers, or otherwise vests any such interest in Fairmont.</w:t>
      </w:r>
    </w:p>
    <w:p>
      <w:pPr>
        <w:pStyle w:val="Heading2"/>
      </w:pPr>
      <w:r>
        <w:t>1. Definition of Background Technology</w:t>
      </w:r>
    </w:p>
    <w:p>
      <w:r>
        <w:t>"Background Technology" means any and all Intellectual Property Rights that are (a) owned or controlled by Licensor prior to the Effective Date, (b) developed, conceived, or reduced to practice by Licensor independently of this Agreement and without use of Fairmont's Confidential Information, or (c) generally applicable tools, libraries, methodologies, know-how, algorithms, or architecture that Licensor uses across its business and did not develop specifically for Fairmont under this Agreement. Where any Intellectual Property Right described in (a) through (c) is jointly owned by Licensor and a third party as of the Effective Date, it remains Background Technology to the extent of Licensor's interest, and this Schedule does not require Licensor to obtain or warrant rights beyond that interest. Background Technology excludes, for the avoidance of doubt, any Deliverable created specifically for Fairmont under a Statement of Work and identified as such in Exhibit B.</w:t>
      </w:r>
    </w:p>
    <w:p>
      <w:pPr>
        <w:pStyle w:val="Heading2"/>
      </w:pPr>
      <w:r>
        <w:t>2. Retained Ownership</w:t>
      </w:r>
    </w:p>
    <w:p>
      <w:r>
        <w:t>Licensor retains sole and exclusive ownership of all Background Technology, whether or not incorporated into, combined with, or necessary for the use of any Licensed Product or Deliverable. No provision of Section 4 (including any assignment, work-made-for-hire designation, or joint ownership provision) shall be construed to convey, license by implication, or otherwise diminish Licensor's ownership of Background Technology, except to the extent expressly licensed under Section 3 below.</w:t>
      </w:r>
    </w:p>
    <w:p>
      <w:pPr>
        <w:pStyle w:val="Heading2"/>
      </w:pPr>
      <w:r>
        <w:t>3. Limited Licence to Embedded Background Technology</w:t>
      </w:r>
    </w:p>
    <w:p>
      <w:r>
        <w:t>To the extent Background Technology is embedded in or reasonably necessary for Fairmont's permitted use of a Licensed Product, Licensor grants Fairmont a non-exclusive, non-transferable, royalty-free licence to use such Background Technology solely as embedded in the Licensed Product and solely for the term and purposes of the Agreement. This licence carries no right to extract, reverse engineer, sublicense standalone, or otherwise use Background Technology independent of the Licensed Product in which it is embedded.</w:t>
      </w:r>
    </w:p>
    <w:p>
      <w:pPr>
        <w:pStyle w:val="Heading2"/>
      </w:pPr>
      <w:r>
        <w:t>4. No Pre-Assignment of Future Improvements</w:t>
      </w:r>
    </w:p>
    <w:p>
      <w:r>
        <w:t>Consistent with Section 7, no provision of this Schedule or the Agreement operates as a present or future assignment of Licensor's Intellectual Property Rights in improvements, modifications, or derivative works of Background Technology that Licensor develops during or after the Term, whether or not informed by feedback, requirements, or use data provided by Fairmont, except to the extent such improvements independently qualify as a Deliverable under an executed Statement of Work.</w:t>
      </w:r>
    </w:p>
    <w:p>
      <w:pPr>
        <w:pStyle w:val="Heading2"/>
      </w:pPr>
      <w:r>
        <w:t>5. Interaction with Section 4 and Section 7</w:t>
      </w:r>
    </w:p>
    <w:p>
      <w:r>
        <w:t>This Schedule does not modify, narrow, or expand the ownership allocations set out in Section 4 or the pre-assignment rights treatment in Section 7. It is a confirmatory schedule intended to remove any ambiguity as to the treatment of pre-existing and independently developed IP. Nothing in this Schedule alters the indemnification framework or any IP-infringement carve-out to liability caps set out in Section 4; a claim arising from Background Technology as embedded under Section 3 is treated for indemnity purposes as arising under the underlying Licensed Product, not as a separate category. In the event of any conflict between this Schedule and Section 4 or Section 7, the terms of Section 4 and Section 7 control.</w:t>
      </w:r>
    </w:p>
    <w:p>
      <w:pPr>
        <w:pStyle w:val="Heading2"/>
      </w:pPr>
      <w:r>
        <w:t>6. Residual Knowledge</w:t>
      </w:r>
    </w:p>
    <w:p>
      <w:r>
        <w:t>Nothing in this Schedule or the Agreement restricts Licensor's personnel from using Residual Knowledge retained in unaided memory following exposure to Fairmont's Confidential Information, provided such personnel do not intentionally memorize such Confidential Information for the purpose of avoiding the restrictions of the Agreement. "Residual Knowledge" does not include, and this Section does not authorize the use of, any Deliverable, Fairmont Confidential Information reduced to any fixed or tangible form, or any Licensed Product source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