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Priyanka Deshmukh (working file)</w:t>
      </w:r>
    </w:p>
    <w:p>
      <w:r>
        <w:t>From: Gideon Park</w:t>
      </w:r>
    </w:p>
    <w:p>
      <w:r>
        <w:t>Re: Fairmont OEM License — Fallback Indemnity Cap Structures to Break the Current Standoff</w:t>
      </w:r>
    </w:p>
    <w:p>
      <w:r>
        <w:t>This memo is for internal use in preparing our next session with Fairmont's counsel. It is not a draft term sheet and should not be shared across the table in this form. My aim here is to lay out where we're stuck, why the stuck point is more structural than positional, and three fallback cap architectures we could offer — in sequence — that give Fairmont something that looks like real protection without we're accepting the uncapped or near-uncapped exposure their last redline still contains.</w:t>
      </w:r>
    </w:p>
    <w:p>
      <w:pPr>
        <w:pStyle w:val="Heading2"/>
      </w:pPr>
      <w:r>
        <w:t>1. Where We Actually Are</w:t>
      </w:r>
    </w:p>
    <w:p>
      <w:r>
        <w:t>The standoff is not really about the number. It's about structure. Fairmont's counsel wants a single indemnity cap set at some multiple of trailing fees, applied uniformly across every indemnity obligation in the license — IP infringement, data/privacy breach, product liability flow-through, and confidentiality. Our client's position has been to hold a materially higher cap (or no cap) for IP infringement claims specifically, on the theory that a successful third-party infringement claim against Fairmont's OEM products could dwarf anything the license fees would ever cover, and that a uniform cap effectively caps our client's own IP indemnity exposure at a number small enough that Fairmont's real-world recovery in a bad scenario would be illusory.</w:t>
      </w:r>
    </w:p>
    <w:p>
      <w:r>
        <w:t>Both sides are right about their own risk and talking past the other's. Fairmont's counsel is not wrong that a uniform cap is administratively simpler and avoids a fight later over which bucket a claim falls into. Our client is not wrong that IP infringement exposure in an OEM licensing context is categorically different in scale from a confidentiality slip. The fix is not to keep re-arguing the number under the same single-cap structure. It's to change the structure so each side's real risk is addressed in the bucket it actually belongs to, without importing that risk into the buckets where it doesn't.</w:t>
      </w:r>
    </w:p>
    <w:p>
      <w:pPr>
        <w:pStyle w:val="Heading2"/>
      </w:pPr>
      <w:r>
        <w:t>2. Fallback Structure A — Tiered Cap by Claim Category (Preferred)</w:t>
      </w:r>
    </w:p>
    <w:p>
      <w:r>
        <w:t>This is the structure I'd lead with. Instead of one cap, we propose three tiers tied to the type of claim, each expressed as a multiple of fees paid or payable under the license in the twelve months preceding the claim ('Annual Fees'):</w:t>
      </w:r>
    </w:p>
    <w:tbl>
      <w:tblPr>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Claim Category</w:t>
            </w:r>
          </w:p>
        </w:tc>
        <w:tc>
          <w:tcPr>
            <w:tcW w:type="dxa" w:w="2160"/>
          </w:tcPr>
          <w:p>
            <w:r>
              <w:t>Proposed Cap</w:t>
            </w:r>
          </w:p>
        </w:tc>
        <w:tc>
          <w:tcPr>
            <w:tcW w:type="dxa" w:w="2160"/>
          </w:tcPr>
          <w:p>
            <w:r>
              <w:t>Rationale</w:t>
            </w:r>
          </w:p>
        </w:tc>
      </w:tr>
      <w:tr>
        <w:tc>
          <w:tcPr>
            <w:tcW w:type="dxa" w:w="2160"/>
          </w:tcPr>
          <w:p>
            <w:r>
              <w:t>1</w:t>
            </w:r>
          </w:p>
        </w:tc>
        <w:tc>
          <w:tcPr>
            <w:tcW w:type="dxa" w:w="2160"/>
          </w:tcPr>
          <w:p>
            <w:r>
              <w:t>General indemnity (confidentiality breach, ordinary breach of representations)</w:t>
            </w:r>
          </w:p>
        </w:tc>
        <w:tc>
          <w:tcPr>
            <w:tcW w:type="dxa" w:w="2160"/>
          </w:tcPr>
          <w:p>
            <w:r>
              <w:t>1x Annual Fees</w:t>
            </w:r>
          </w:p>
        </w:tc>
        <w:tc>
          <w:tcPr>
            <w:tcW w:type="dxa" w:w="2160"/>
          </w:tcPr>
          <w:p>
            <w:r>
              <w:t>Matches Fairmont's original ask; low-severity, high-frequency claim type.</w:t>
            </w:r>
          </w:p>
        </w:tc>
      </w:tr>
      <w:tr>
        <w:tc>
          <w:tcPr>
            <w:tcW w:type="dxa" w:w="2160"/>
          </w:tcPr>
          <w:p>
            <w:r>
              <w:t>2</w:t>
            </w:r>
          </w:p>
        </w:tc>
        <w:tc>
          <w:tcPr>
            <w:tcW w:type="dxa" w:w="2160"/>
          </w:tcPr>
          <w:p>
            <w:r>
              <w:t>Data/privacy breach indemnity</w:t>
            </w:r>
          </w:p>
        </w:tc>
        <w:tc>
          <w:tcPr>
            <w:tcW w:type="dxa" w:w="2160"/>
          </w:tcPr>
          <w:p>
            <w:r>
              <w:t>2x Annual Fees</w:t>
            </w:r>
          </w:p>
        </w:tc>
        <w:tc>
          <w:tcPr>
            <w:tcW w:type="dxa" w:w="2160"/>
          </w:tcPr>
          <w:p>
            <w:r>
              <w:t>Reflects notice, remediation, and potential regulatory exposure without treating it as open-ended.</w:t>
            </w:r>
          </w:p>
        </w:tc>
      </w:tr>
      <w:tr>
        <w:tc>
          <w:tcPr>
            <w:tcW w:type="dxa" w:w="2160"/>
          </w:tcPr>
          <w:p>
            <w:r>
              <w:t>3</w:t>
            </w:r>
          </w:p>
        </w:tc>
        <w:tc>
          <w:tcPr>
            <w:tcW w:type="dxa" w:w="2160"/>
          </w:tcPr>
          <w:p>
            <w:r>
              <w:t>IP infringement indemnity (third-party claim that our client's licensed technology infringes)</w:t>
            </w:r>
          </w:p>
        </w:tc>
        <w:tc>
          <w:tcPr>
            <w:tcW w:type="dxa" w:w="2160"/>
          </w:tcPr>
          <w:p>
            <w:r>
              <w:t>4x Annual Fees, uncapped for claims arising from our client's own gross negligence or willful infringement</w:t>
            </w:r>
          </w:p>
        </w:tc>
        <w:tc>
          <w:tcPr>
            <w:tcW w:type="dxa" w:w="2160"/>
          </w:tcPr>
          <w:p>
            <w:r>
              <w:t>Addresses Fairmont's real downside scenario — a product recall or injunction tied to infringing IP — while keeping a ceiling for ordinary-course claims.</w:t>
            </w:r>
          </w:p>
        </w:tc>
      </w:tr>
    </w:tbl>
    <w:p>
      <w:r>
        <w:t>The carve-out for gross negligence or willful infringement in Tier 3 is the piece that should move Fairmont's counsel. It tells them that if our client knew or was reckless about an infringement risk and licensed anyway, there is no ceiling — which is the scenario they've actually been describing when they push back on caps generally. Conversely, it lets our client hold a real, finite number for the ordinary case where a third party surfaces a claim neither side anticipated.</w:t>
      </w:r>
    </w:p>
    <w:p>
      <w:pPr>
        <w:pStyle w:val="Heading2"/>
      </w:pPr>
      <w:r>
        <w:t>3. Fallback Structure B — Single Cap with Carve-Outs for Specified Perils</w:t>
      </w:r>
    </w:p>
    <w:p>
      <w:r>
        <w:t>If Fairmont's counsel won't accept a tiered structure — some counterparties dislike the administrative burden of arguing which bucket a claim falls in after the fact — the fallback is a single cap (say, 2x Annual Fees) with enumerated carve-outs that fall outside the cap entirely:</w:t>
      </w:r>
    </w:p>
    <w:p>
      <w:pPr>
        <w:pStyle w:val="ListBullet"/>
      </w:pPr>
      <w:r>
        <w:t>Breach of the confidentiality/data-security provisions resulting from a party's failure to implement the security measures specified in Schedule D.</w:t>
      </w:r>
    </w:p>
    <w:p>
      <w:pPr>
        <w:pStyle w:val="ListBullet"/>
      </w:pPr>
      <w:r>
        <w:t>IP infringement claims where the licensor had actual knowledge of a third party's pre-existing patent or trade secret claim at the time of licensing and did not disclose it.</w:t>
      </w:r>
    </w:p>
    <w:p>
      <w:pPr>
        <w:pStyle w:val="ListBullet"/>
      </w:pPr>
      <w:r>
        <w:t>Fraud, willful misconduct, or gross negligence, applied bilaterally.</w:t>
      </w:r>
    </w:p>
    <w:p>
      <w:pPr>
        <w:pStyle w:val="ListBullet"/>
      </w:pPr>
      <w:r>
        <w:t>Amounts payable to a governmental authority as a fine or penalty arising directly from either party's breach (as opposed to litigation defense costs generally).</w:t>
      </w:r>
    </w:p>
    <w:p>
      <w:r>
        <w:t>This structure is simpler to administer than tiering but takes more negotiation upfront to agree on the list — the carve-outs are where the real fight will move. I'd expect Fairmont's counsel to push to add 'any claim exceeding $X in a single incident' as a carve-out trigger; we should resist that, since it reintroduces the uncapped exposure through a back door tied to claim size rather than claim type.</w:t>
      </w:r>
    </w:p>
    <w:p>
      <w:pPr>
        <w:pStyle w:val="Heading2"/>
      </w:pPr>
      <w:r>
        <w:t>4. Fallback Structure C — Escalating Cap Tied to Contract Duration</w:t>
      </w:r>
    </w:p>
    <w:p>
      <w:r>
        <w:t>This is the structure I'd hold in reserve rather than lead with, but it's worth having ready if both A and B stall. The cap starts lower in year one (1.5x Annual Fees) and steps up in years two and three (2x, then 3x) as the parties' actual claims history under the agreement becomes known. The logic we'd offer Fairmont: neither side has real data yet on how much risk this specific OEM relationship generates, so a cap that adjusts with experience is more defensible than either side's static guess. The risk of this structure is that it defers rather than resolves the disagreement, and if year one produces a large claim, we're back at the table renegotiating the number under pressure. I'd only offer this if A and B both fail and we need a path to signature rather than a correct outcome.</w:t>
      </w:r>
    </w:p>
    <w:p>
      <w:pPr>
        <w:pStyle w:val="Heading2"/>
      </w:pPr>
      <w:r>
        <w:t>5. Sequencing and Recommendation</w:t>
      </w:r>
    </w:p>
    <w:p>
      <w:r>
        <w:t>My recommendation is to present Structure A first, framed as responsive to the concern Fairmont's counsel has actually articulated (catastrophic infringement exposure) rather than as a rejection of their uniform-cap proposal. If they resist tiering on administrative grounds, move to Structure B and let the carve-out list absorb the negotiation. Structure C stays off the table unless we're at risk of the deal stalling entirely over this single point — it is a face-saving mechanism for both sides more than it is a good risk allocation, and I don't want it to become the anchor if we can avoid it.</w:t>
      </w:r>
    </w:p>
    <w:p>
      <w:r>
        <w:t>I'd like fifteen minutes before the next session to align on which of these Priyanka is comfortable opening with, and whether the business team has a hard floor on the multiple that I should build the opening ask around. That fifteen-minute conversation is now scheduled off the back of her follow-up emails this week; see updated status below.</w:t>
      </w:r>
    </w:p>
    <w:p>
      <w:pPr>
        <w:pStyle w:val="Heading2"/>
      </w:pPr>
      <w:r>
        <w:t>6. Open Items Before Next Session — Status Update</w:t>
      </w:r>
    </w:p>
    <w:p>
      <w:r>
        <w:t>A few threads need to close out before we walk into the room with any of these structures as a live opening ask, rather than as analysis on paper. Updating status on each below rather than leaving them as open questions on paper:</w:t>
      </w:r>
    </w:p>
    <w:p>
      <w:pPr>
        <w:pStyle w:val="ListBullet"/>
      </w:pPr>
      <w:r>
        <w:t>Business floor on the multiple — still outstanding, now time-sensitive. Priyanka has followed up twice, including flagging a related patent filing deadline in the same email thread. I need to close the loop with her on both the hard floor for the Tier 3 / IP infringement multiple in Structure A and the single cap in Structure B, and separately confirm whether the patent filing deadline she's asking about affects the timing of when we can open with any of these structures. Until the floor is set, I can't tell Fairmont's counsel where our real bottom is versus where we're posturing.</w:t>
      </w:r>
    </w:p>
    <w:p>
      <w:pPr>
        <w:pStyle w:val="ListBullet"/>
      </w:pPr>
      <w:r>
        <w:t>Sequencing sign-off — scheduling now, per Klara's note that Priyanka has emailed again. I'm treating this as the trigger to get the fifteen minutes on the calendar rather than letting it sit; this memo remains the input to that conversation, not a substitute for it.</w:t>
      </w:r>
    </w:p>
    <w:p>
      <w:pPr>
        <w:pStyle w:val="ListBullet"/>
      </w:pPr>
      <w:r>
        <w:t>Schedule D security measures — confirmed current. The draft I'd point to for Structure B's first carve-out has been checked against what's actually been implemented and is not stale. That risk is closed for now, though I'd recheck if there's any further delay before this goes across the table.</w:t>
      </w:r>
    </w:p>
    <w:p>
      <w:pPr>
        <w:pStyle w:val="ListBullet"/>
      </w:pPr>
      <w:r>
        <w:t>IP chain-of-title assumption — now needs an explicit check, not just a flag. This memo's cap structures still assume a clean IP chain-of-title on our client's side. Given the separate, active thread on control-loop code exposure tied to a departed engineering lead — where I still need to confirm the exact scope of what that engineer had access to and whether any of it touches code in the Fairmont-licensed product line — I don't want to treat the clean-chain-of-title assumption as settled until that scope is confirmed. If there's any overlap, Structure A's Tier 3 uncapped carve-out for willful infringement becomes considerably more live for us defensively, not just for Fairmont. I'll flag this explicitly to Priyanka before we open with any structure.</w:t>
      </w:r>
    </w:p>
    <w:p>
      <w:r>
        <w:t>None of this changes the recommendation in Section 5. It does mean Section 5's recommendation is closer to becoming a decision than it was — the Schedule D item is resolved, and the business-floor and sequencing conversations are now actively being scheduled rather than merely pending. The one item that could still change the analysis, rather than just the timing, is the chain-of-title question tied to the departed engineering lead's access; I want that scope confirmed before I'd call this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