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2 — Intellectual Property Ownership (Redline Draft)</w:t>
      </w:r>
    </w:p>
    <w:p>
      <w:r>
        <w:t>This draft resolves the ownership split issue Klara flagged in her review, now reconciled against the new Section 2.4 grant language, which I confirmed to her is consistent in structure with the existing Section 2.3 grant. The core problem is that Section 2 as drafted conflates two distinct categories of IP — Fairmont's pre-existing background technology and the improvements created during the OEM relationship — and does not say clearly enough who owns what when the two categories touch. Section 2.4's new grant language, by broadening the license scope without a matching carve-out for licensee-side improvements, made that ambiguity concrete rather than theoretical. The redline below fixes it by separating background IP, foreground IP, and joint improvements into three distinct ownership buckets, each with its own grant-back or license treatment.</w:t>
      </w:r>
    </w:p>
    <w:p>
      <w:pPr>
        <w:pStyle w:val="Heading2"/>
      </w:pPr>
      <w:r>
        <w:t>2.1 Background IP</w:t>
      </w:r>
    </w:p>
    <w:p>
      <w:r>
        <w:t>Each party retains sole ownership of all Intellectual Property Rights in technology, know-how, and materials that it owned or had rights to prior to the Effective Date, or that it develops independently of this Agreement and without use of the other party's Confidential Information ("Background IP"). Neither party's Background IP is assigned, transferred, or encumbered by this Agreement except as expressly licensed under Section 2.4.</w:t>
      </w:r>
    </w:p>
    <w:p>
      <w:pPr>
        <w:pStyle w:val="Heading2"/>
      </w:pPr>
      <w:r>
        <w:t>2.2 Foreground IP</w:t>
      </w:r>
    </w:p>
    <w:p>
      <w:r>
        <w:t>Intellectual Property Rights in any invention, design, software, or other work of authorship conceived, reduced to practice, or fixed in a tangible medium solely by one party's personnel in the course of performing this Agreement ("Foreground IP") shall be owned solely by that party. Where Licensee's personnel develop a Product-specific modification that does not incorporate or rely on Licensor's Background IP beyond what is licensed under Section 2.4, that modification is Licensee Foreground IP and is owned by Licensee, subject to the license grant-back in Section 2.3.</w:t>
      </w:r>
    </w:p>
    <w:p>
      <w:pPr>
        <w:pStyle w:val="Heading2"/>
      </w:pPr>
      <w:r>
        <w:t>2.3 Joint Improvements</w:t>
      </w:r>
    </w:p>
    <w:p>
      <w:r>
        <w:t>Where Foreground IP cannot reasonably be attributed to one party's personnel alone because it was conceived or developed through the material contribution of both parties' personnel ("Joint Improvements"), the parties shall own such Joint Improvements jointly, each free to exploit them without duty to account to the other, except that Licensee's exploitation of Joint Improvements outside the Field is subject to Licensor's prior written consent, not to be unreasonably withheld. This joint-ownership treatment is the mechanism that resolves the split Klara identified: rather than forcing a binary assignment of improvements to one side, ownership tracks the actual origin of the contribution, with Joint Improvements as the deliberate middle category.</w:t>
      </w:r>
    </w:p>
    <w:p>
      <w:pPr>
        <w:pStyle w:val="Heading2"/>
      </w:pPr>
      <w:r>
        <w:t>2.4 License Grant for Improvements (Revised)</w:t>
      </w:r>
    </w:p>
    <w:p>
      <w:r>
        <w:t>To the extent any Foreground IP or Joint Improvement incorporates or is derived from Licensor's Background IP, Licensee grants back to Licensor a non-exclusive, worldwide, royalty-free, sublicensable license to use, reproduce, modify, and distribute such Foreground IP or Joint Improvement solely for Licensor's own product lines outside the Field defined in Section 1.6. This grant-back is the counterweight to the broadened license scope in new Section 2.4 as drafted by Fairmont's counsel: without it, the expanded grant would let Licensor absorb Licensee-side improvements without a reciprocal right, which is the asymmetry Klara's redline was pointing at. The grant-back does not transfer ownership; it is a license only, and Licensee's ownership of its Foreground IP under Section 2.2 is unaffected. Read together, Sections 2.1 through 2.4 are the complete answer to the split Klara flagged: background stays with its original owner, foreground stays with its creator, joint contributions are shared, and the grant-back in this section is the only mechanism by which Licensor reaches into Licensee-owned improvements — and only for the narrow, out-of-Field, non-exclusive use described above.</w:t>
      </w:r>
    </w:p>
    <w:p>
      <w:pPr>
        <w:pStyle w:val="Heading2"/>
      </w:pPr>
      <w:r>
        <w:t>2.5 Marking and Prosecution</w:t>
      </w:r>
    </w:p>
    <w:p>
      <w:r>
        <w:t>Each party retains sole control over the filing, prosecution, and maintenance of patents and other registrations covering its own Background IP and Foreground IP. For Joint Improvements, the parties shall confer in good faith on a case-by-case basis regarding whether and how to seek patent protection, with costs shared in proportion to each party's ownership interest, and neither party may abandon a jointly-owned application without first offering the other party the opportunity to assume prosecution at its own expense.</w:t>
      </w:r>
    </w:p>
    <w:p>
      <w:pPr>
        <w:pStyle w:val="Heading2"/>
      </w:pPr>
      <w:r>
        <w:t>Open Items for Klara</w:t>
      </w:r>
    </w:p>
    <w:p>
      <w:pPr>
        <w:pStyle w:val="ListNumber"/>
      </w:pPr>
      <w:r>
        <w:t>Confirm the Field definition in Section 1.6 is broad enough to cover Fairmont's likely use cases for Joint Improvements outside the OEM relationship — if not, Section 2.3's consent mechanic may need a narrower carve-out.</w:t>
      </w:r>
    </w:p>
    <w:p>
      <w:pPr>
        <w:pStyle w:val="ListNumber"/>
      </w:pPr>
      <w:r>
        <w:t>Section 2.4's grant-back is drafted as royalty-free; flag if commercial terms want a running royalty on Licensor's out-of-Field exploitation instead.</w:t>
      </w:r>
    </w:p>
    <w:p>
      <w:pPr>
        <w:pStyle w:val="ListNumber"/>
      </w:pPr>
      <w:r>
        <w:t>Verify Fairmont's original Section 2.4 language doesn't already contain an implied assignment (rather than license) of improvements — the verbatim text I sent Oskar reads as license-only, but worth a second pass against the defined terms in their draft.</w:t>
      </w:r>
    </w:p>
    <w:p>
      <w:pPr>
        <w:pStyle w:val="ListNumber"/>
      </w:pPr>
      <w:r>
        <w:t>This redline assumes no work-for-hire override elsewhere in the Agreement; confirm Section 9 (or wherever personnel/subcontractor terms sit) doesn't conflict with the Foreground IP ownership default in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