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Conflicts and New Matter Intake</w:t>
            </w:r>
          </w:p>
        </w:tc>
      </w:tr>
      <w:tr>
        <w:tc>
          <w:tcPr>
            <w:tcW w:type="dxa" w:w="4320"/>
          </w:tcPr>
          <w:p>
            <w:r>
              <w:t>From</w:t>
            </w:r>
          </w:p>
        </w:tc>
        <w:tc>
          <w:tcPr>
            <w:tcW w:type="dxa" w:w="4320"/>
          </w:tcPr>
          <w:p>
            <w:r>
              <w:t>Lucien Abara, Senior Associate</w:t>
            </w:r>
          </w:p>
        </w:tc>
      </w:tr>
      <w:tr>
        <w:tc>
          <w:tcPr>
            <w:tcW w:type="dxa" w:w="4320"/>
          </w:tcPr>
          <w:p>
            <w:r>
              <w:t>Re</w:t>
            </w:r>
          </w:p>
        </w:tc>
        <w:tc>
          <w:tcPr>
            <w:tcW w:type="dxa" w:w="4320"/>
          </w:tcPr>
          <w:p>
            <w:r>
              <w:t>Sable Ridge — no longer unrelated; conflicts implications</w:t>
            </w:r>
          </w:p>
        </w:tc>
      </w:tr>
      <w:tr>
        <w:tc>
          <w:tcPr>
            <w:tcW w:type="dxa" w:w="4320"/>
          </w:tcPr>
          <w:p>
            <w:r>
              <w:t>Status</w:t>
            </w:r>
          </w:p>
        </w:tc>
        <w:tc>
          <w:tcPr>
            <w:tcW w:type="dxa" w:w="4320"/>
          </w:tcPr>
          <w:p>
            <w:r>
              <w:t>Final — ready for partner review</w:t>
            </w:r>
          </w:p>
        </w:tc>
      </w:tr>
    </w:tbl>
    <w:p>
      <w:pPr>
        <w:pStyle w:val="Heading2"/>
      </w:pPr>
      <w:r>
        <w:t>Conclusion</w:t>
      </w:r>
    </w:p>
    <w:p>
      <w:r>
        <w:t>The better view is that Sable Ridge can no longer be treated as an unrelated entity for conflicts purposes, and the firm's intake records should be corrected accordingly before any further work issues under the affected matters. Based on the information Thandiwe Mokoena relayed, Sable Ridge now has a common-ownership or affiliation link that touches at least one open engagement. Until that link is mapped against the current client and adverse-party lists, new assignments touching Sable Ridge or its affiliates should be held, and any work product already issued should be reviewed for disclosure exposure. This finding has been escalated separately; see the accompanying Escalation Recommendation — Sable Ridge Related-Party Conflicts Finding, which this memo supports.</w:t>
      </w:r>
    </w:p>
    <w:p>
      <w:pPr>
        <w:pStyle w:val="Heading2"/>
      </w:pPr>
      <w:r>
        <w:t>Background</w:t>
      </w:r>
    </w:p>
    <w:p>
      <w:r>
        <w:t>Sable Ridge was cleared at intake as an unrelated third party. Thandiwe Mokoena advised that this status has changed — Sable Ridge is no longer unrelated — but did not specify, in the exchange captured here, which matter surfaced the connection or the precise nature of the affiliation (common ownership, common control, or a shared principal). That detail is necessary before the conflicts list can be updated with confidence, and I have flagged it as an open item below rather than guess at the relationship. I have separately asked Thandiwe to confirm the scope and status of Sable Ridge, noting that it remains unresolved and is blocking downstream planning.</w:t>
      </w:r>
    </w:p>
    <w:p>
      <w:pPr>
        <w:pStyle w:val="Heading2"/>
      </w:pPr>
      <w:r>
        <w:t>Matters requiring a fresh look</w:t>
      </w:r>
    </w:p>
    <w:p>
      <w:r>
        <w:t>I have screened the firm's open engagement list for any name, counterparty, or lender that could plausibly connect to a Sable Ridge affiliation. Three warrant a second look pending confirmation of the actual link:</w:t>
      </w:r>
    </w:p>
    <w:p>
      <w:pPr>
        <w:pStyle w:val="ListNumber"/>
      </w:pPr>
      <w:r>
        <w:t>Coastal Meridian — credit agreement covenant review (tkt-000002): lender and guarantor structures in a credit agreement are a common source of undisclosed affiliation; the covenant schedule should be checked for any Sable Ridge-named entity or address overlap.</w:t>
      </w:r>
    </w:p>
    <w:p>
      <w:pPr>
        <w:pStyle w:val="ListNumber"/>
      </w:pPr>
      <w:r>
        <w:t>Northmoor — Sandhurst platform acquisition (tkt-000010): platform acquisitions frequently carry rollover or co-investor entities; worth confirming Sable Ridge is not a seller-side affiliate or co-investor.</w:t>
      </w:r>
    </w:p>
    <w:p>
      <w:pPr>
        <w:pStyle w:val="ListNumber"/>
      </w:pPr>
      <w:r>
        <w:t>Pellumbra — Series C disclosure schedule (tkt-000008): disclosure schedules list related-party transactions by name; if Sable Ridge appears there under a different engagement, it should be reconciled against this new status now, not at signing.</w:t>
      </w:r>
    </w:p>
    <w:p>
      <w:pPr>
        <w:pStyle w:val="Heading2"/>
      </w:pPr>
      <w:r>
        <w:t>Open items</w:t>
      </w:r>
    </w:p>
    <w:p>
      <w:pPr>
        <w:pStyle w:val="ListBullet"/>
      </w:pPr>
      <w:r>
        <w:t>Confirm from Thandiwe the specific nature of the Sable Ridge relationship and the matter that surfaced it — request sent; outstanding.</w:t>
      </w:r>
    </w:p>
    <w:p>
      <w:pPr>
        <w:pStyle w:val="ListBullet"/>
      </w:pPr>
      <w:r>
        <w:t>Re-run the conflicts search against the corrected Sable Ridge profile once the affiliation is documented.</w:t>
      </w:r>
    </w:p>
    <w:p>
      <w:pPr>
        <w:pStyle w:val="ListBullet"/>
      </w:pPr>
      <w:r>
        <w:t>Hold any new Sable Ridge-adjacent assignments until the above is resolved.</w:t>
      </w:r>
    </w:p>
    <w:p>
      <w:pPr>
        <w:pStyle w:val="ListBullet"/>
      </w:pPr>
      <w:r>
        <w:t>Docket note: confirmed the duplicate docket call invite is distinct from the note-taker rotation fix; Thandiwe has been asked to cancel or merge the duplicate to keep docket call scheduling clean. This item is closed for purposes of this memo and tracked separately.</w:t>
      </w:r>
    </w:p>
    <w:p>
      <w:pPr>
        <w:pStyle w:val="Heading2"/>
      </w:pPr>
      <w:r>
        <w:t>Recommendation</w:t>
      </w:r>
    </w:p>
    <w:p>
      <w:r>
        <w:t>I recommend the intake system be updated to remove Sable Ridge's 'unrelated' designation immediately, with a note referencing this memo, and that the three matters identified above be re-screened once the precise affiliation is confirmed. The escalation of this finding has been formally documented in the accompanying Escalation Recommendation memo, which is ready for partner routing alongside this memorandum. No further distribution beyond that escalation is warranted until Thandiwe's confirmation of the affiliation's precise nature is in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