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Correction Note – Choice-of-Law Enforceability Memo</w:t>
      </w:r>
    </w:p>
    <w:p>
      <w:r>
        <w:t>Prepared by: Hyun-woo Bae, Senior Associate, Litigation</w:t>
      </w:r>
    </w:p>
    <w:p>
      <w:r>
        <w:t>Re: Correction to prior choice-of-law enforceability memo (originally circulated by Thandiwe)</w:t>
      </w:r>
    </w:p>
    <w:p>
      <w:pPr>
        <w:pStyle w:val="Heading2"/>
      </w:pPr>
      <w:r>
        <w:t>Summary</w:t>
      </w:r>
    </w:p>
    <w:p>
      <w:r>
        <w:t>This note supersedes the relevant portion of the prior choice-of-law enforceability memo. I am taking over this correction from Thandiwe at her request, given current bandwidth on my end and confirmation that the item is unrelated to the Sable Ridge matter. Two points below: (1) the nature of the correction, and (2) what it does and does not change in the underlying analysis.</w:t>
      </w:r>
    </w:p>
    <w:p>
      <w:pPr>
        <w:pStyle w:val="Heading2"/>
      </w:pPr>
      <w:r>
        <w:t>1. Nature of the Correction</w:t>
      </w:r>
    </w:p>
    <w:p>
      <w:r>
        <w:t>The prior memo requires correction because the choice-of-law enforceability analysis, as circulated, was drafted before ownership of the open item was finalized. Rather than risk further drift between drafts, this note consolidates the correction into a single record so the file reflects one authoritative version going forward. Substantive edits, once identified, will be incorporated directly into the body of the memo and flagged in redline; this note exists to document the fact and basis of the correction for the file.</w:t>
      </w:r>
    </w:p>
    <w:p>
      <w:pPr>
        <w:pStyle w:val="Heading2"/>
      </w:pPr>
      <w:r>
        <w:t>2. Scope of Impact</w:t>
      </w:r>
    </w:p>
    <w:p>
      <w:r>
        <w:t>The correction is confined to the choice-of-law enforceability analysis itself. It has no bearing on, and does not touch, any Sable Ridge work product, including the cite-check/declaration package, the privilege log, or the discovery review protocol memo, all of which are tracked separately and remain unaffected by this item.</w:t>
      </w:r>
    </w:p>
    <w:p>
      <w:pPr>
        <w:pStyle w:val="Heading2"/>
      </w:pPr>
      <w:r>
        <w:t>Next Steps</w:t>
      </w:r>
    </w:p>
    <w:p>
      <w:pPr>
        <w:pStyle w:val="ListNumber"/>
      </w:pPr>
      <w:r>
        <w:t>Incorporate corrected analysis into the body of the choice-of-law enforceability memo and circulate a clean redline.</w:t>
      </w:r>
    </w:p>
    <w:p>
      <w:pPr>
        <w:pStyle w:val="ListNumber"/>
      </w:pPr>
      <w:r>
        <w:t>Confirm with Thandiwe that handoff of ownership is complete and reflected in the file.</w:t>
      </w:r>
    </w:p>
    <w:p>
      <w:pPr>
        <w:pStyle w:val="ListNumber"/>
      </w:pPr>
      <w:r>
        <w:t>Close out this correction note once the revised memo is finalized and distributed.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