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Halden Orthopedics / Renwick Non-Compete</w:t>
            </w:r>
          </w:p>
        </w:tc>
      </w:tr>
      <w:tr>
        <w:tc>
          <w:tcPr>
            <w:tcW w:type="dxa" w:w="4320"/>
          </w:tcPr>
          <w:p>
            <w:r>
              <w:t>From:</w:t>
            </w:r>
          </w:p>
        </w:tc>
        <w:tc>
          <w:tcPr>
            <w:tcW w:type="dxa" w:w="4320"/>
          </w:tcPr>
          <w:p>
            <w:r>
              <w:t>Lucien Abara, Senior Associate</w:t>
            </w:r>
          </w:p>
        </w:tc>
      </w:tr>
      <w:tr>
        <w:tc>
          <w:tcPr>
            <w:tcW w:type="dxa" w:w="4320"/>
          </w:tcPr>
          <w:p>
            <w:r>
              <w:t>Re:</w:t>
            </w:r>
          </w:p>
        </w:tc>
        <w:tc>
          <w:tcPr>
            <w:tcW w:type="dxa" w:w="4320"/>
          </w:tcPr>
          <w:p>
            <w:r>
              <w:t>Enforceability of Dr. Renwick's Restrictive Covenant</w:t>
            </w:r>
          </w:p>
        </w:tc>
      </w:tr>
      <w:tr>
        <w:tc>
          <w:tcPr>
            <w:tcW w:type="dxa" w:w="4320"/>
          </w:tcPr>
          <w:p>
            <w:r>
              <w:t>Date:</w:t>
            </w:r>
          </w:p>
        </w:tc>
        <w:tc>
          <w:tcPr>
            <w:tcW w:type="dxa" w:w="4320"/>
          </w:tcPr>
          <w:p>
            <w:r>
              <w:t>Current</w:t>
            </w:r>
          </w:p>
        </w:tc>
      </w:tr>
      <w:tr>
        <w:tc>
          <w:tcPr>
            <w:tcW w:type="dxa" w:w="4320"/>
          </w:tcPr>
          <w:p>
            <w:r>
              <w:t>Status:</w:t>
            </w:r>
          </w:p>
        </w:tc>
        <w:tc>
          <w:tcPr>
            <w:tcW w:type="dxa" w:w="4320"/>
          </w:tcPr>
          <w:p>
            <w:r>
              <w:t>Final — reviewed and closed out for partner review</w:t>
            </w:r>
          </w:p>
        </w:tc>
      </w:tr>
    </w:tbl>
    <w:p>
      <w:pPr>
        <w:pStyle w:val="Heading2"/>
      </w:pPr>
      <w:r>
        <w:t>Conclusion</w:t>
      </w:r>
    </w:p>
    <w:p>
      <w:r>
        <w:t>The better view is that the non-compete restricting Dr. Elena Renwick from practicing orthopedic surgery within a 25-mile radius of Halden Orthopedics' primary office for eighteen months following termination is enforceable in substantial part, but the geographic scope as drafted invites judicial narrowing. Halden should anticipate a court blue-lining the radius to the county in which its principal practice sits, or to the specific hospitals where Dr. Renwick held privileges, rather than upholding the covenant as written. The temporal restriction of eighteen months is defensible and unlikely to be disturbed.</w:t>
      </w:r>
    </w:p>
    <w:p>
      <w:pPr>
        <w:pStyle w:val="Heading2"/>
      </w:pPr>
      <w:r>
        <w:t>Background</w:t>
      </w:r>
    </w:p>
    <w:p>
      <w:r>
        <w:t>Dr. Renwick was employed by Halden Orthopedics as a partner-track surgeon from her residency completion until her resignation. Her employment agreement contains a restrictive covenant barring competing practice within 25 miles of Halden's primary office for 18 months, and a non-solicitation clause covering referring physicians and patients seen in the two years preceding termination. Halden seeks to enjoin her from joining a competing practice that has opened 11 miles from the primary office.</w:t>
      </w:r>
    </w:p>
    <w:p>
      <w:pPr>
        <w:pStyle w:val="Heading2"/>
      </w:pPr>
      <w:r>
        <w:t>Analysis</w:t>
      </w:r>
    </w:p>
    <w:p>
      <w:pPr>
        <w:pStyle w:val="Heading3"/>
      </w:pPr>
      <w:r>
        <w:t>1. Legitimate Business Interest</w:t>
      </w:r>
    </w:p>
    <w:p>
      <w:r>
        <w:t>Courts in this jurisdiction require an employer to demonstrate a legitimate protectable interest — patient goodwill, referral relationships, or specialized training investment — before enforcing a physician non-compete. Halden's investment in Dr. Renwick's subspecialty training and her cultivation of a referring-physician network over four years supports a finding of legitimate interest. The referral relationships are the stronger of the two grounds; goodwill arguments for a surgical specialty (as opposed to primary care) tend to receive less weight because patients are typically referred rather than self-selecting a surgeon by relationship.</w:t>
      </w:r>
    </w:p>
    <w:p>
      <w:pPr>
        <w:pStyle w:val="Heading3"/>
      </w:pPr>
      <w:r>
        <w:t>2. Geographic Scope</w:t>
      </w:r>
    </w:p>
    <w:p>
      <w:r>
        <w:t>The 25-mile radius is measured from Halden's primary office rather than from the locations where Dr. Renwick actually practiced or built referral relationships. This is a drafting weakness. Where a covenant's geographic reach exceeds the area in which the employer actually competes or in which the employee generated goodwill, courts in this jurisdiction have shown a consistent willingness to reform rather than void — narrowing the radius to align with the employer's actual competitive footprint. Halden's competing practice is concentrated in the county seat and two satellite clinics; the 25-mile radius sweeps in a materially larger area, including a hospital system where Dr. Renwick never held privileges.</w:t>
      </w:r>
    </w:p>
    <w:p>
      <w:pPr>
        <w:pStyle w:val="Heading3"/>
      </w:pPr>
      <w:r>
        <w:t>3. Temporal Scope</w:t>
      </w:r>
    </w:p>
    <w:p>
      <w:r>
        <w:t>Eighteen months is within the range this jurisdiction has upheld for physician covenants, particularly where the restricted party was compensated during any post-termination restricted period or where patient transition concerns are documented. No case in this jurisdiction has struck an 18-month surgical non-compete as facially unreasonable in duration alone.</w:t>
      </w:r>
    </w:p>
    <w:p>
      <w:pPr>
        <w:pStyle w:val="Heading3"/>
      </w:pPr>
      <w:r>
        <w:t>4. Public Policy — Patient Access</w:t>
      </w:r>
    </w:p>
    <w:p>
      <w:r>
        <w:t>The strongest argument available to Dr. Renwick is not contractual but the physician-specific public policy exception recognized in this jurisdiction: courts weigh patient access to care, particularly in underserved specialties, against the employer's contractual interest. Orthopedic surgery is not classified as a shortage specialty in the relevant county, which weakens this argument for Dr. Renwick but does not eliminate it — the analysis is fact-intensive and will turn on whatever access data her counsel develops.</w:t>
      </w:r>
    </w:p>
    <w:p>
      <w:pPr>
        <w:pStyle w:val="Heading2"/>
      </w:pPr>
      <w:r>
        <w:t>Recommendation</w:t>
      </w:r>
    </w:p>
    <w:p>
      <w:pPr>
        <w:pStyle w:val="ListNumber"/>
      </w:pPr>
      <w:r>
        <w:t>Pursue injunctive relief on the referral-network and training-investment theories rather than general goodwill.</w:t>
      </w:r>
    </w:p>
    <w:p>
      <w:pPr>
        <w:pStyle w:val="ListNumber"/>
      </w:pPr>
      <w:r>
        <w:t>Anticipate and prepare a fallback position accepting judicial narrowing of the geographic radius to the county or to a list of specific facilities, rather than insisting on the 25-mile figure as drafted.</w:t>
      </w:r>
    </w:p>
    <w:p>
      <w:pPr>
        <w:pStyle w:val="ListNumber"/>
      </w:pPr>
      <w:r>
        <w:t>Develop the record now on referring-physician relationships Dr. Renwick personally cultivated, since this is the strongest basis for both the injunction and any damages claim.</w:t>
      </w:r>
    </w:p>
    <w:p>
      <w:pPr>
        <w:pStyle w:val="ListNumber"/>
      </w:pPr>
      <w:r>
        <w:t>Do not lead with patient-access rebuttal preemptively; let opposing counsel raise it, since the specialty is not shortage-classified in this county and volunteering the argument only strengthens it in the reader's mind.</w:t>
      </w:r>
    </w:p>
    <w:p>
      <w:r>
        <w:t>No further committee or client input has been received bearing on this analysis; the memo has been reviewed in full against the current record, no open items remain, and the status is closed out as final for partner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