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Position Statement: Halden Orthopedics v. Dr. Marcus Renwick</w:t>
      </w:r>
    </w:p>
    <w:p>
      <w:pPr>
        <w:pStyle w:val="Heading2"/>
      </w:pPr>
      <w:r>
        <w:t>Summary</w:t>
      </w:r>
    </w:p>
    <w:p>
      <w:r>
        <w:t>The better view is that the non-compete covenant contained in Dr. Renwick's 2021 Physician Employment Agreement is enforceable as to the twenty-five mile radius and eighteen-month term, and that Halden Orthopedics is entitled to injunctive relief restraining Dr. Renwick's current practice at Bellwood Sports Medicine pending resolution of the underlying breach claim. The covenant is reasonable in scope, was supported by adequate consideration in the form of a partnership buy-in and deferred compensation, and Dr. Renwick's departure to a directly competing practice within the restricted territory eleven months after his separation falls squarely within its terms.</w:t>
      </w:r>
    </w:p>
    <w:p>
      <w:pPr>
        <w:pStyle w:val="Heading2"/>
      </w:pPr>
      <w:r>
        <w:t>Background</w:t>
      </w:r>
    </w:p>
    <w:p>
      <w:r>
        <w:t>Dr. Renwick joined Halden Orthopedics as an associate physician in July 2018 and became a partner in January 2021, at which point he executed the Physician Employment Agreement containing the covenant at issue. He resigned from Halden in March 2024, citing personal reasons, and by February 2025 had begun practicing at Bellwood Sports Medicine, a competing orthopedic practice located approximately fourteen miles from Halden's primary clinic location. Halden asserts that Bellwood's patient base overlaps substantially with Halden's own, and that at least six former Halden patients have followed Dr. Renwick to Bellwood since his move.</w:t>
      </w:r>
    </w:p>
    <w:p>
      <w:pPr>
        <w:pStyle w:val="Heading2"/>
      </w:pPr>
      <w:r>
        <w:t>Enforceability of the Covenant</w:t>
      </w:r>
    </w:p>
    <w:p>
      <w:r>
        <w:t>The covenant restricts Dr. Renwick from practicing orthopedic medicine within a twenty-five mile radius of any Halden clinic for eighteen months following separation. Courts in this jurisdiction have consistently upheld physician non-competes of comparable geographic and temporal scope where, as here, the restriction is tied to protection of patient goodwill and referral relationships built during the physician's tenure, rather than to a bare restraint on competition. The consideration recited in the agreement — a partnership buy-in valued at $340,000 and a deferred compensation schedule vesting over four years — is materially more substantial than the consideration courts have found sufficient in comparable matters, and Dr. Renwick received the benefit of both before his departure.</w:t>
      </w:r>
    </w:p>
    <w:p>
      <w:pPr>
        <w:pStyle w:val="Heading2"/>
      </w:pPr>
      <w:r>
        <w:t>Anticipated Defenses</w:t>
      </w:r>
    </w:p>
    <w:p>
      <w:pPr>
        <w:pStyle w:val="ListNumber"/>
      </w:pPr>
      <w:r>
        <w:t>Overbreadth — Dr. Renwick may argue the twenty-five mile radius exceeds what is necessary to protect Halden's legitimate business interest given the rural character of the service area. Response: the radius corresponds to Halden's actual referral and patient-draw area as demonstrated by its own scheduling data.</w:t>
      </w:r>
    </w:p>
    <w:p>
      <w:pPr>
        <w:pStyle w:val="ListNumber"/>
      </w:pPr>
      <w:r>
        <w:t>Consideration — Dr. Renwick may argue the covenant was imposed as a condition of continued employment rather than exchanged for new consideration. Response: the partnership buy-in and deferred compensation were expressly conditioned on execution of the covenant, distinguishing this from cases involving unilateral imposition on an existing at-will employee.</w:t>
      </w:r>
    </w:p>
    <w:p>
      <w:pPr>
        <w:pStyle w:val="ListNumber"/>
      </w:pPr>
      <w:r>
        <w:t>Patient choice / public interest — Dr. Renwick may invoke the patient's right to choose a treating physician. Response: this argument bears on scope of remedy, not enforceability, and does not defeat injunctive relief where alternative providers remain available within the restricted area.</w:t>
      </w:r>
    </w:p>
    <w:p>
      <w:pPr>
        <w:pStyle w:val="Heading2"/>
      </w:pPr>
      <w:r>
        <w:t>Recommended Position</w:t>
      </w:r>
    </w:p>
    <w:p>
      <w:r>
        <w:t>Halden should press for a preliminary injunction limited to enforcement of the non-solicitation and non-competition provisions as written, while remaining open to a negotiated resolution involving a reduced geographic radius in exchange for an extended term, if the parties reach that stage before the hearing. This draft is circulated for partner review before any position is communicated to opposing counsel.</w:t>
      </w:r>
    </w:p>
    <w:p>
      <w:pPr>
        <w:pStyle w:val="Heading2"/>
      </w:pPr>
      <w:r>
        <w:t>Status</w:t>
      </w:r>
    </w:p>
    <w:p>
      <w:r>
        <w:t>This position statement is under active drafting and reflects the current record analysis as of this pass. The enforceability analysis, background recitation, and anticipated defenses above remain sound on the current record and are unchanged pending any further factual developments (e.g., additional patient-migration data or Bellwood's actual distance/referral overlap figures). Partner sign-off on the recommended position remains pending before this statement is communicated to opposing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